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10" w:rsidRDefault="00AD6410" w:rsidP="00BF477E">
      <w:pPr>
        <w:ind w:right="-283"/>
        <w:rPr>
          <w:rFonts w:ascii="IBM Plex Sans" w:hAnsi="IBM Plex Sans" w:cs="Arial"/>
          <w:b/>
          <w:color w:val="262626"/>
          <w:sz w:val="22"/>
          <w:szCs w:val="22"/>
        </w:rPr>
      </w:pPr>
    </w:p>
    <w:p w:rsidR="00F07CE4" w:rsidRPr="00F07CE4" w:rsidRDefault="00B9363C" w:rsidP="00F07CE4">
      <w:pPr>
        <w:rPr>
          <w:rFonts w:ascii="IBM Plex Sans" w:hAnsi="IBM Plex Sans"/>
          <w:b/>
          <w:sz w:val="24"/>
          <w:szCs w:val="24"/>
        </w:rPr>
      </w:pPr>
      <w:r>
        <w:rPr>
          <w:rFonts w:ascii="IBM Plex Sans" w:hAnsi="IBM Plex Sans"/>
          <w:b/>
          <w:sz w:val="24"/>
          <w:szCs w:val="24"/>
        </w:rPr>
        <w:t>Pressetext</w:t>
      </w:r>
      <w:r w:rsidR="00F07CE4" w:rsidRPr="00F07CE4">
        <w:rPr>
          <w:rFonts w:ascii="IBM Plex Sans" w:hAnsi="IBM Plex Sans"/>
          <w:b/>
          <w:sz w:val="24"/>
          <w:szCs w:val="24"/>
        </w:rPr>
        <w:t xml:space="preserve"> </w:t>
      </w:r>
      <w:r w:rsidR="00393799">
        <w:rPr>
          <w:rFonts w:ascii="IBM Plex Sans" w:hAnsi="IBM Plex Sans"/>
          <w:b/>
          <w:sz w:val="24"/>
          <w:szCs w:val="24"/>
        </w:rPr>
        <w:t>Landhausklassiker</w:t>
      </w:r>
      <w:bookmarkStart w:id="0" w:name="_GoBack"/>
      <w:bookmarkEnd w:id="0"/>
      <w:r w:rsidR="00F07CE4" w:rsidRPr="00F07CE4">
        <w:rPr>
          <w:rFonts w:ascii="IBM Plex Sans" w:hAnsi="IBM Plex Sans"/>
          <w:b/>
          <w:sz w:val="24"/>
          <w:szCs w:val="24"/>
        </w:rPr>
        <w:t xml:space="preserve"> casa</w:t>
      </w:r>
    </w:p>
    <w:p w:rsidR="00F07CE4" w:rsidRPr="00F07CE4" w:rsidRDefault="00F07CE4" w:rsidP="00F07CE4">
      <w:pPr>
        <w:rPr>
          <w:rFonts w:ascii="IBM Plex Sans" w:hAnsi="IBM Plex Sans"/>
          <w:sz w:val="24"/>
          <w:szCs w:val="24"/>
        </w:rPr>
      </w:pPr>
    </w:p>
    <w:p w:rsidR="00F07CE4" w:rsidRDefault="00F07CE4" w:rsidP="00F07CE4">
      <w:pPr>
        <w:rPr>
          <w:rFonts w:ascii="IBM Plex Sans" w:hAnsi="IBM Plex Sans"/>
          <w:sz w:val="24"/>
          <w:szCs w:val="24"/>
        </w:rPr>
      </w:pPr>
      <w:r w:rsidRPr="00F07CE4">
        <w:rPr>
          <w:rFonts w:ascii="IBM Plex Sans" w:hAnsi="IBM Plex Sans"/>
          <w:noProof/>
          <w:sz w:val="24"/>
          <w:szCs w:val="24"/>
        </w:rPr>
        <w:t xml:space="preserve"> </w:t>
      </w:r>
    </w:p>
    <w:p w:rsidR="00B9363C" w:rsidRPr="00F07CE4" w:rsidRDefault="00B9363C" w:rsidP="00F07CE4">
      <w:pPr>
        <w:rPr>
          <w:rFonts w:ascii="IBM Plex Sans" w:hAnsi="IBM Plex Sans"/>
          <w:sz w:val="24"/>
          <w:szCs w:val="24"/>
        </w:rPr>
      </w:pPr>
    </w:p>
    <w:p w:rsidR="00DE44A6" w:rsidRPr="00F07CE4" w:rsidRDefault="00DE44A6" w:rsidP="00F07CE4">
      <w:pPr>
        <w:rPr>
          <w:rFonts w:ascii="IBM Plex Sans" w:hAnsi="IBM Plex Sans"/>
          <w:sz w:val="24"/>
          <w:szCs w:val="24"/>
        </w:rPr>
      </w:pPr>
    </w:p>
    <w:p w:rsidR="00F07CE4" w:rsidRPr="00B06775" w:rsidRDefault="00F07CE4" w:rsidP="00F07CE4">
      <w:pPr>
        <w:rPr>
          <w:rFonts w:ascii="IBM Plex Sans" w:hAnsi="IBM Plex Sans"/>
          <w:b/>
          <w:sz w:val="22"/>
          <w:szCs w:val="22"/>
        </w:rPr>
      </w:pPr>
      <w:r w:rsidRPr="00B06775">
        <w:rPr>
          <w:rFonts w:ascii="IBM Plex Sans" w:hAnsi="IBM Plex Sans"/>
          <w:b/>
          <w:sz w:val="22"/>
          <w:szCs w:val="22"/>
        </w:rPr>
        <w:t>Update eines Klassikers</w:t>
      </w:r>
    </w:p>
    <w:p w:rsidR="00F07CE4" w:rsidRPr="00B06775" w:rsidRDefault="00F07CE4" w:rsidP="00F07CE4">
      <w:pPr>
        <w:rPr>
          <w:rFonts w:ascii="IBM Plex Sans" w:hAnsi="IBM Plex Sans"/>
          <w:sz w:val="22"/>
          <w:szCs w:val="22"/>
        </w:rPr>
      </w:pPr>
    </w:p>
    <w:p w:rsidR="00F07CE4" w:rsidRPr="00B06775" w:rsidRDefault="00F07CE4" w:rsidP="00F07CE4">
      <w:pPr>
        <w:rPr>
          <w:rFonts w:ascii="IBM Plex Sans" w:hAnsi="IBM Plex Sans"/>
          <w:sz w:val="22"/>
          <w:szCs w:val="22"/>
        </w:rPr>
      </w:pPr>
      <w:r w:rsidRPr="00B06775">
        <w:rPr>
          <w:rFonts w:ascii="IBM Plex Sans" w:hAnsi="IBM Plex Sans"/>
          <w:sz w:val="22"/>
          <w:szCs w:val="22"/>
        </w:rPr>
        <w:t>Mit dem dunklen Anthrazitfarbton definiert die casa das moderne Landhaus neu.</w:t>
      </w:r>
    </w:p>
    <w:p w:rsidR="00F07CE4" w:rsidRPr="00B06775" w:rsidRDefault="00F07CE4" w:rsidP="00F07CE4">
      <w:pPr>
        <w:rPr>
          <w:rFonts w:ascii="IBM Plex Sans" w:hAnsi="IBM Plex Sans"/>
          <w:sz w:val="22"/>
          <w:szCs w:val="22"/>
        </w:rPr>
      </w:pPr>
      <w:r w:rsidRPr="00B06775">
        <w:rPr>
          <w:rFonts w:ascii="IBM Plex Sans" w:hAnsi="IBM Plex Sans"/>
          <w:sz w:val="22"/>
          <w:szCs w:val="22"/>
        </w:rPr>
        <w:t>Sie verkörpert einen dezenten und eleganten Luxus, der durch außergewöhnliche Ästhetik besticht. Moderne geradlinige Gestaltungselemente wie Abschlusselemente, Tischfüße oder Vorsatzrahmen erweitern die Planungsmöglichkeiten im modernen Landhausbereich deutlich.</w:t>
      </w:r>
    </w:p>
    <w:p w:rsidR="00F07CE4" w:rsidRPr="00F07CE4" w:rsidRDefault="00F07CE4" w:rsidP="00F07CE4">
      <w:pPr>
        <w:rPr>
          <w:rFonts w:ascii="IBM Plex Sans" w:hAnsi="IBM Plex Sans"/>
          <w:sz w:val="24"/>
          <w:szCs w:val="24"/>
        </w:rPr>
      </w:pPr>
    </w:p>
    <w:p w:rsidR="00F07CE4" w:rsidRPr="00B06775" w:rsidRDefault="00F07CE4" w:rsidP="00F07CE4">
      <w:pPr>
        <w:rPr>
          <w:rFonts w:ascii="IBM Plex Sans" w:hAnsi="IBM Plex Sans"/>
          <w:sz w:val="22"/>
          <w:szCs w:val="22"/>
        </w:rPr>
      </w:pPr>
      <w:r w:rsidRPr="00B06775">
        <w:rPr>
          <w:rFonts w:ascii="IBM Plex Sans" w:hAnsi="IBM Plex Sans"/>
          <w:sz w:val="22"/>
          <w:szCs w:val="22"/>
        </w:rPr>
        <w:t xml:space="preserve">Praktische Faltschiebeschränke im Bereich der Unter- und Aufsatzschränke sorgen für komfortablen Zugriff auf alle wichtigen Küchenhelfer. Offene Nischen für Kaffeekultur oder Whisky </w:t>
      </w:r>
      <w:proofErr w:type="spellStart"/>
      <w:r w:rsidRPr="00B06775">
        <w:rPr>
          <w:rFonts w:ascii="IBM Plex Sans" w:hAnsi="IBM Plex Sans"/>
          <w:sz w:val="22"/>
          <w:szCs w:val="22"/>
        </w:rPr>
        <w:t>Tasting</w:t>
      </w:r>
      <w:proofErr w:type="spellEnd"/>
      <w:r w:rsidRPr="00B06775">
        <w:rPr>
          <w:rFonts w:ascii="IBM Plex Sans" w:hAnsi="IBM Plex Sans"/>
          <w:sz w:val="22"/>
          <w:szCs w:val="22"/>
        </w:rPr>
        <w:t xml:space="preserve"> lassen vitale Wohlfühlzonen entstehen und bringen so Leben, Kreativität und Flexibilität in die Küche.</w:t>
      </w:r>
    </w:p>
    <w:p w:rsidR="00F07CE4" w:rsidRPr="00B06775" w:rsidRDefault="00F07CE4" w:rsidP="00F07CE4">
      <w:pPr>
        <w:rPr>
          <w:sz w:val="22"/>
          <w:szCs w:val="22"/>
        </w:rPr>
      </w:pPr>
    </w:p>
    <w:p w:rsidR="00F07CE4" w:rsidRDefault="00F07CE4" w:rsidP="00F07CE4"/>
    <w:p w:rsidR="00F07CE4" w:rsidRDefault="00F07CE4" w:rsidP="00F07CE4"/>
    <w:p w:rsidR="00167361" w:rsidRDefault="00167361" w:rsidP="00FC796F">
      <w:pPr>
        <w:ind w:right="1410"/>
        <w:rPr>
          <w:rFonts w:ascii="IBM Plex Sans" w:hAnsi="IBM Plex Sans" w:cs="Tahoma"/>
          <w:color w:val="262626"/>
          <w:sz w:val="20"/>
          <w:szCs w:val="20"/>
        </w:rPr>
      </w:pPr>
    </w:p>
    <w:p w:rsidR="00167361" w:rsidRDefault="00167361" w:rsidP="00FC796F">
      <w:pPr>
        <w:ind w:right="1410"/>
        <w:rPr>
          <w:rFonts w:ascii="IBM Plex Sans" w:hAnsi="IBM Plex Sans" w:cs="Tahoma"/>
          <w:color w:val="262626"/>
          <w:sz w:val="20"/>
          <w:szCs w:val="20"/>
        </w:rPr>
      </w:pPr>
    </w:p>
    <w:p w:rsidR="00167361" w:rsidRPr="001724C3" w:rsidRDefault="00167361" w:rsidP="00167361">
      <w:pPr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1724C3">
        <w:rPr>
          <w:rFonts w:ascii="IBM Plex Sans" w:hAnsi="IBM Plex Sans" w:cs="Tahoma"/>
          <w:color w:val="262626"/>
          <w:sz w:val="16"/>
          <w:szCs w:val="16"/>
        </w:rPr>
        <w:t>Ihre Ansprechpartnerin:</w:t>
      </w:r>
    </w:p>
    <w:p w:rsidR="00167361" w:rsidRPr="001724C3" w:rsidRDefault="00167361" w:rsidP="00167361">
      <w:pPr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</w:p>
    <w:p w:rsidR="00167361" w:rsidRPr="001724C3" w:rsidRDefault="00167361" w:rsidP="00167361">
      <w:pPr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1724C3">
        <w:rPr>
          <w:rFonts w:ascii="IBM Plex Sans" w:hAnsi="IBM Plex Sans" w:cs="Tahoma"/>
          <w:color w:val="262626"/>
          <w:sz w:val="16"/>
          <w:szCs w:val="16"/>
        </w:rPr>
        <w:t>Elke Pfeiffer</w:t>
      </w:r>
    </w:p>
    <w:p w:rsidR="00167361" w:rsidRPr="001724C3" w:rsidRDefault="00167361" w:rsidP="00167361">
      <w:pPr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1724C3">
        <w:rPr>
          <w:rFonts w:ascii="IBM Plex Sans" w:hAnsi="IBM Plex Sans" w:cs="Tahoma"/>
          <w:color w:val="262626"/>
          <w:sz w:val="16"/>
          <w:szCs w:val="16"/>
        </w:rPr>
        <w:t>Leitung Marketing</w:t>
      </w:r>
    </w:p>
    <w:p w:rsidR="00167361" w:rsidRPr="001724C3" w:rsidRDefault="00167361" w:rsidP="00167361">
      <w:pPr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1724C3">
        <w:rPr>
          <w:rFonts w:ascii="IBM Plex Sans" w:hAnsi="IBM Plex Sans" w:cs="Tahoma"/>
          <w:b/>
          <w:color w:val="262626"/>
          <w:sz w:val="16"/>
          <w:szCs w:val="16"/>
        </w:rPr>
        <w:t>T</w:t>
      </w:r>
      <w:r w:rsidRPr="001724C3">
        <w:rPr>
          <w:rFonts w:ascii="IBM Plex Sans" w:hAnsi="IBM Plex Sans" w:cs="Tahoma"/>
          <w:color w:val="262626"/>
          <w:sz w:val="16"/>
          <w:szCs w:val="16"/>
        </w:rPr>
        <w:t xml:space="preserve"> +49 5226 58-330</w:t>
      </w:r>
    </w:p>
    <w:p w:rsidR="00167361" w:rsidRPr="00A61B07" w:rsidRDefault="00167361" w:rsidP="00167361">
      <w:pPr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A61B07">
        <w:rPr>
          <w:rFonts w:ascii="IBM Plex Sans" w:hAnsi="IBM Plex Sans" w:cs="Tahoma"/>
          <w:color w:val="262626"/>
          <w:sz w:val="16"/>
          <w:szCs w:val="16"/>
        </w:rPr>
        <w:t>epfeiffer@rational.de</w:t>
      </w:r>
    </w:p>
    <w:p w:rsidR="00167361" w:rsidRPr="00A61B07" w:rsidRDefault="00167361" w:rsidP="00167361">
      <w:pPr>
        <w:shd w:val="solid" w:color="FFFFFF" w:fill="FFFFFF"/>
        <w:rPr>
          <w:rFonts w:ascii="IBM Plex Sans SemiBold" w:hAnsi="IBM Plex Sans SemiBold" w:cs="Tahoma"/>
          <w:color w:val="262626"/>
          <w:sz w:val="16"/>
          <w:szCs w:val="16"/>
        </w:rPr>
      </w:pPr>
    </w:p>
    <w:p w:rsidR="00167361" w:rsidRPr="0097055D" w:rsidRDefault="00167361" w:rsidP="00167361">
      <w:pPr>
        <w:shd w:val="solid" w:color="FFFFFF" w:fill="FFFFFF"/>
        <w:rPr>
          <w:rFonts w:ascii="IBM Plex Sans Light" w:hAnsi="IBM Plex Sans Light" w:cs="Tahoma"/>
          <w:color w:val="262626"/>
          <w:sz w:val="16"/>
          <w:szCs w:val="16"/>
        </w:rPr>
      </w:pPr>
      <w:r w:rsidRPr="0097055D">
        <w:rPr>
          <w:rFonts w:ascii="IBM Plex Sans Light" w:hAnsi="IBM Plex Sans Light" w:cs="Tahoma"/>
          <w:color w:val="262626"/>
          <w:sz w:val="16"/>
          <w:szCs w:val="16"/>
        </w:rPr>
        <w:t xml:space="preserve">Bei Veröffentlichung senden Sie uns bitte ein </w:t>
      </w:r>
      <w:r>
        <w:rPr>
          <w:rFonts w:ascii="IBM Plex Sans Light" w:hAnsi="IBM Plex Sans Light" w:cs="Tahoma"/>
          <w:color w:val="262626"/>
          <w:sz w:val="16"/>
          <w:szCs w:val="16"/>
        </w:rPr>
        <w:t>Belegexemplar zu.</w:t>
      </w:r>
    </w:p>
    <w:p w:rsidR="00167361" w:rsidRDefault="00167361" w:rsidP="00FC796F">
      <w:pPr>
        <w:ind w:right="1410"/>
        <w:rPr>
          <w:rFonts w:ascii="IBM Plex Sans" w:hAnsi="IBM Plex Sans" w:cs="Tahoma"/>
          <w:color w:val="262626"/>
          <w:sz w:val="20"/>
          <w:szCs w:val="20"/>
        </w:rPr>
      </w:pPr>
    </w:p>
    <w:p w:rsidR="00167361" w:rsidRPr="00EA444E" w:rsidRDefault="00167361" w:rsidP="00FC796F">
      <w:pPr>
        <w:ind w:right="1410"/>
        <w:rPr>
          <w:rFonts w:ascii="IBM Plex Sans" w:hAnsi="IBM Plex Sans" w:cs="Tahoma"/>
          <w:color w:val="262626"/>
          <w:sz w:val="20"/>
          <w:szCs w:val="20"/>
        </w:rPr>
      </w:pPr>
    </w:p>
    <w:sectPr w:rsidR="00167361" w:rsidRPr="00EA444E" w:rsidSect="00F07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2685" w:bottom="1701" w:left="1418" w:header="2070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36" w:rsidRDefault="00093836">
      <w:r>
        <w:separator/>
      </w:r>
    </w:p>
  </w:endnote>
  <w:endnote w:type="continuationSeparator" w:id="0">
    <w:p w:rsidR="00093836" w:rsidRDefault="0009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BM Plex Sans">
    <w:panose1 w:val="020B0503050203000203"/>
    <w:charset w:val="4D"/>
    <w:family w:val="swiss"/>
    <w:pitch w:val="variable"/>
    <w:sig w:usb0="A000026F" w:usb1="5000207B" w:usb2="00000000" w:usb3="00000000" w:csb0="00000197" w:csb1="00000000"/>
  </w:font>
  <w:font w:name="IBM Plex Sans SemiBold">
    <w:altName w:val="IBM Plex Sans"/>
    <w:panose1 w:val="020B0703050203000203"/>
    <w:charset w:val="4D"/>
    <w:family w:val="swiss"/>
    <w:pitch w:val="variable"/>
    <w:sig w:usb0="A000026F" w:usb1="5000207B" w:usb2="00000000" w:usb3="00000000" w:csb0="00000197" w:csb1="00000000"/>
  </w:font>
  <w:font w:name="IBM Plex Sans Light">
    <w:panose1 w:val="020B0403050203000203"/>
    <w:charset w:val="4D"/>
    <w:family w:val="swiss"/>
    <w:pitch w:val="variable"/>
    <w:sig w:usb0="A000026F" w:usb1="5000207B" w:usb2="00000000" w:usb3="00000000" w:csb0="00000197" w:csb1="00000000"/>
  </w:font>
  <w:font w:name="IBM Plex Sans ExtraLight">
    <w:altName w:val="IBM Plex Sans"/>
    <w:panose1 w:val="020B0303050203000203"/>
    <w:charset w:val="4D"/>
    <w:family w:val="swiss"/>
    <w:pitch w:val="variable"/>
    <w:sig w:usb0="A000026F" w:usb1="5000207B" w:usb2="00000000" w:usb3="00000000" w:csb0="00000197" w:csb1="00000000"/>
  </w:font>
  <w:font w:name="IBMPlexSans-ExtraLight">
    <w:altName w:val="IBM Plex Sans ExtraLight"/>
    <w:panose1 w:val="020B0303050203000203"/>
    <w:charset w:val="4D"/>
    <w:family w:val="swiss"/>
    <w:notTrueType/>
    <w:pitch w:val="variable"/>
    <w:sig w:usb0="A000026F" w:usb1="5000207B" w:usb2="00000000" w:usb3="00000000" w:csb0="00000197" w:csb1="00000000"/>
  </w:font>
  <w:font w:name="IBMPlexSans">
    <w:altName w:val="IBM Plex Sans"/>
    <w:panose1 w:val="020B0503050203000203"/>
    <w:charset w:val="4D"/>
    <w:family w:val="swiss"/>
    <w:notTrueType/>
    <w:pitch w:val="variable"/>
    <w:sig w:usb0="A000026F" w:usb1="5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7A" w:rsidRDefault="009908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A7" w:rsidRPr="005177E3" w:rsidRDefault="00FD49A7" w:rsidP="000848B5">
    <w:pPr>
      <w:pStyle w:val="EinfAbs"/>
      <w:framePr w:wrap="around" w:vAnchor="page" w:hAnchor="page" w:x="1419" w:y="15764" w:anchorLock="1"/>
      <w:tabs>
        <w:tab w:val="right" w:pos="3106"/>
      </w:tabs>
      <w:rPr>
        <w:rFonts w:ascii="IBM Plex Sans ExtraLight" w:hAnsi="IBM Plex Sans ExtraLight" w:cs="Tahoma"/>
        <w:color w:val="000000" w:themeColor="text1"/>
        <w:sz w:val="20"/>
        <w:szCs w:val="20"/>
      </w:rPr>
    </w:pP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</w:instrText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>IF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NUMPAGES 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9363C">
      <w:rPr>
        <w:rFonts w:ascii="IBM Plex Sans ExtraLight" w:hAnsi="IBM Plex Sans ExtraLight" w:cs="Tahoma"/>
        <w:noProof/>
        <w:color w:val="000000" w:themeColor="text1"/>
        <w:sz w:val="20"/>
        <w:szCs w:val="20"/>
      </w:rPr>
      <w:instrText>2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 = "1" ""</w:instrText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"Seite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PAGE   \* MERGEFORMAT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9363C">
      <w:rPr>
        <w:rFonts w:ascii="IBM Plex Sans ExtraLight" w:hAnsi="IBM Plex Sans ExtraLight" w:cs="Tahoma"/>
        <w:noProof/>
        <w:color w:val="000000" w:themeColor="text1"/>
        <w:sz w:val="20"/>
        <w:szCs w:val="20"/>
      </w:rPr>
      <w:instrText>2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von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NUMPAGES   \* MERGEFORMAT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9363C">
      <w:rPr>
        <w:rFonts w:ascii="IBM Plex Sans ExtraLight" w:hAnsi="IBM Plex Sans ExtraLight" w:cs="Tahoma"/>
        <w:noProof/>
        <w:color w:val="000000" w:themeColor="text1"/>
        <w:sz w:val="20"/>
        <w:szCs w:val="20"/>
      </w:rPr>
      <w:instrText>2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>"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9363C" w:rsidRPr="00472123">
      <w:rPr>
        <w:rFonts w:ascii="IBM Plex Sans ExtraLight" w:hAnsi="IBM Plex Sans ExtraLight" w:cs="Tahoma"/>
        <w:noProof/>
        <w:color w:val="000000" w:themeColor="text1"/>
        <w:sz w:val="20"/>
        <w:szCs w:val="20"/>
      </w:rPr>
      <w:t xml:space="preserve">Seite </w:t>
    </w:r>
    <w:r w:rsidR="00B9363C">
      <w:rPr>
        <w:rFonts w:ascii="IBM Plex Sans ExtraLight" w:hAnsi="IBM Plex Sans ExtraLight" w:cs="Tahoma"/>
        <w:noProof/>
        <w:color w:val="000000" w:themeColor="text1"/>
        <w:sz w:val="20"/>
        <w:szCs w:val="20"/>
      </w:rPr>
      <w:t>2</w:t>
    </w:r>
    <w:r w:rsidR="00B9363C" w:rsidRPr="00472123">
      <w:rPr>
        <w:rFonts w:ascii="IBM Plex Sans ExtraLight" w:hAnsi="IBM Plex Sans ExtraLight" w:cs="Tahoma"/>
        <w:noProof/>
        <w:color w:val="000000" w:themeColor="text1"/>
        <w:sz w:val="20"/>
        <w:szCs w:val="20"/>
      </w:rPr>
      <w:t xml:space="preserve"> von </w:t>
    </w:r>
    <w:r w:rsidR="00B9363C">
      <w:rPr>
        <w:rFonts w:ascii="IBM Plex Sans ExtraLight" w:hAnsi="IBM Plex Sans ExtraLight" w:cs="Tahoma"/>
        <w:noProof/>
        <w:color w:val="000000" w:themeColor="text1"/>
        <w:sz w:val="20"/>
        <w:szCs w:val="20"/>
      </w:rPr>
      <w:t>2</w: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</w:p>
  <w:p w:rsidR="00FD49A7" w:rsidRPr="00DE1D91" w:rsidRDefault="00FD49A7">
    <w:pPr>
      <w:pStyle w:val="Fuzeile"/>
      <w:rPr>
        <w:rFonts w:ascii="IBM Plex Sans ExtraLight" w:hAnsi="IBM Plex Sans Extra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  <w:r w:rsidRPr="006B08CA">
      <w:rPr>
        <w:rFonts w:ascii="IBM Plex Sans Light" w:hAnsi="IBM Plex Sans Light" w:cs="Tahoma"/>
        <w:color w:val="262626"/>
        <w:sz w:val="16"/>
        <w:szCs w:val="16"/>
      </w:rPr>
      <w:t>rational einbauküchen GmbH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Rationalstraße 4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49328 Melle, Germany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570658">
      <w:rPr>
        <w:rFonts w:ascii="IBM Plex Sans SemiBold" w:hAnsi="IBM Plex Sans SemiBold" w:cs="IBMPlexSans"/>
        <w:color w:val="000000"/>
        <w:sz w:val="16"/>
        <w:szCs w:val="16"/>
      </w:rPr>
      <w:t>T</w:t>
    </w:r>
    <w:r w:rsidRPr="006B08CA">
      <w:rPr>
        <w:rFonts w:ascii="IBM Plex Sans Light" w:hAnsi="IBM Plex Sans Light" w:cs="IBMPlexSans-ExtraLight"/>
        <w:color w:val="000000"/>
        <w:sz w:val="16"/>
        <w:szCs w:val="16"/>
      </w:rPr>
      <w:t xml:space="preserve"> +49 5226 580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info@rational.de</w:t>
    </w:r>
  </w:p>
  <w:p w:rsidR="00FD49A7" w:rsidRPr="00570658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SemiBold" w:hAnsi="IBM Plex Sans SemiBold" w:cs="Tahoma"/>
        <w:color w:val="262626"/>
        <w:sz w:val="16"/>
        <w:szCs w:val="16"/>
      </w:rPr>
    </w:pPr>
    <w:r w:rsidRPr="00570658">
      <w:rPr>
        <w:rFonts w:ascii="IBM Plex Sans SemiBold" w:hAnsi="IBM Plex Sans SemiBold" w:cs="Tahoma"/>
        <w:color w:val="262626"/>
        <w:sz w:val="16"/>
        <w:szCs w:val="16"/>
      </w:rPr>
      <w:t>www.rational.de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</w:p>
  <w:p w:rsidR="00FD49A7" w:rsidRPr="006B08CA" w:rsidRDefault="00FD49A7" w:rsidP="00875FDD">
    <w:pPr>
      <w:pStyle w:val="EinfAbs"/>
      <w:framePr w:w="2614" w:h="2268" w:hRule="exact" w:hSpace="397" w:vSpace="284" w:wrap="around" w:vAnchor="page" w:hAnchor="page" w:x="8636" w:y="13739" w:anchorLock="1"/>
      <w:spacing w:line="240" w:lineRule="auto"/>
      <w:rPr>
        <w:rFonts w:ascii="IBM Plex Sans Light" w:hAnsi="IBM Plex Sans Light" w:cs="IBMPlexSans-ExtraLight"/>
        <w:sz w:val="16"/>
        <w:szCs w:val="16"/>
        <w:lang w:val="de-DE"/>
      </w:rPr>
    </w:pPr>
    <w:r w:rsidRPr="006B08CA">
      <w:rPr>
        <w:rFonts w:ascii="IBM Plex Sans Light" w:hAnsi="IBM Plex Sans Light" w:cs="IBMPlexSans-ExtraLight"/>
        <w:sz w:val="16"/>
        <w:szCs w:val="16"/>
        <w:lang w:val="de-DE"/>
      </w:rPr>
      <w:t>Sitz der Gesellschaft: Melle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AG Osnabrück | HRB 0641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 xml:space="preserve">Geschäftsführung: </w:t>
    </w:r>
    <w:r w:rsidRPr="006B08CA">
      <w:rPr>
        <w:rFonts w:ascii="IBM Plex Sans Light" w:hAnsi="IBM Plex Sans Light" w:cs="IBMPlexSans-ExtraLight"/>
        <w:color w:val="000000"/>
        <w:sz w:val="16"/>
        <w:szCs w:val="16"/>
      </w:rPr>
      <w:br/>
    </w:r>
    <w:r w:rsidR="0099087A">
      <w:rPr>
        <w:rFonts w:ascii="IBM Plex Sans Light" w:hAnsi="IBM Plex Sans Light" w:cs="IBMPlexSans-ExtraLight"/>
        <w:color w:val="000000"/>
        <w:sz w:val="16"/>
        <w:szCs w:val="16"/>
      </w:rPr>
      <w:t xml:space="preserve">Massimo </w:t>
    </w:r>
    <w:proofErr w:type="spellStart"/>
    <w:r w:rsidR="0099087A">
      <w:rPr>
        <w:rFonts w:ascii="IBM Plex Sans Light" w:hAnsi="IBM Plex Sans Light" w:cs="IBMPlexSans-ExtraLight"/>
        <w:color w:val="000000"/>
        <w:sz w:val="16"/>
        <w:szCs w:val="16"/>
      </w:rPr>
      <w:t>Manelli</w:t>
    </w:r>
    <w:proofErr w:type="spellEnd"/>
    <w:r w:rsidR="0099087A">
      <w:rPr>
        <w:rFonts w:ascii="IBM Plex Sans Light" w:hAnsi="IBM Plex Sans Light" w:cs="IBMPlexSans-ExtraLight"/>
        <w:color w:val="000000"/>
        <w:sz w:val="16"/>
        <w:szCs w:val="16"/>
      </w:rPr>
      <w:t>, Dante Giacomelli</w:t>
    </w:r>
  </w:p>
  <w:p w:rsidR="00FD49A7" w:rsidRPr="00DE1D91" w:rsidRDefault="00FD49A7">
    <w:pPr>
      <w:pStyle w:val="Fuzeile"/>
      <w:rPr>
        <w:rFonts w:ascii="IBM Plex Sans ExtraLight" w:hAnsi="IBM Plex Sans ExtraLight"/>
      </w:rPr>
    </w:pPr>
    <w:r w:rsidRPr="00DE1D91">
      <w:rPr>
        <w:rFonts w:ascii="IBM Plex Sans ExtraLight" w:hAnsi="IBM Plex Sans ExtraLight"/>
        <w:noProof/>
      </w:rPr>
      <w:drawing>
        <wp:anchor distT="0" distB="0" distL="114300" distR="114300" simplePos="0" relativeHeight="251666944" behindDoc="1" locked="0" layoutInCell="1" allowOverlap="1" wp14:anchorId="32E91F6F" wp14:editId="71CDD864">
          <wp:simplePos x="0" y="0"/>
          <wp:positionH relativeFrom="page">
            <wp:posOffset>3780790</wp:posOffset>
          </wp:positionH>
          <wp:positionV relativeFrom="page">
            <wp:posOffset>9886950</wp:posOffset>
          </wp:positionV>
          <wp:extent cx="1350000" cy="274298"/>
          <wp:effectExtent l="0" t="0" r="0" b="5715"/>
          <wp:wrapNone/>
          <wp:docPr id="6" name="Bild 6" descr="Kunden:rational_Kuechen:Geschaeftsausstattung:Briefbogen:2018:Word_Vorlage:rff_mo_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:rational_Kuechen:Geschaeftsausstattung:Briefbogen:2018:Word_Vorlage:rff_mo_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274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36" w:rsidRDefault="00093836">
      <w:r>
        <w:separator/>
      </w:r>
    </w:p>
  </w:footnote>
  <w:footnote w:type="continuationSeparator" w:id="0">
    <w:p w:rsidR="00093836" w:rsidRDefault="0009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7A" w:rsidRDefault="00990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A7" w:rsidRPr="00DE1D91" w:rsidRDefault="00FD49A7" w:rsidP="00864BC7">
    <w:pPr>
      <w:pStyle w:val="Kopfzeile"/>
      <w:rPr>
        <w:rFonts w:ascii="IBM Plex Sans ExtraLight" w:hAnsi="IBM Plex Sans ExtraLight"/>
        <w:sz w:val="16"/>
        <w:szCs w:val="16"/>
      </w:rPr>
    </w:pPr>
    <w:r w:rsidRPr="00DE1D91">
      <w:rPr>
        <w:rFonts w:ascii="IBM Plex Sans ExtraLight" w:hAnsi="IBM Plex Sans ExtraLight"/>
        <w:noProof/>
      </w:rPr>
      <w:drawing>
        <wp:anchor distT="0" distB="0" distL="114300" distR="114300" simplePos="0" relativeHeight="251670016" behindDoc="1" locked="0" layoutInCell="1" allowOverlap="1" wp14:anchorId="3D41AADE" wp14:editId="1D6C0364">
          <wp:simplePos x="0" y="0"/>
          <wp:positionH relativeFrom="page">
            <wp:posOffset>5490845</wp:posOffset>
          </wp:positionH>
          <wp:positionV relativeFrom="page">
            <wp:posOffset>540385</wp:posOffset>
          </wp:positionV>
          <wp:extent cx="1366755" cy="284400"/>
          <wp:effectExtent l="0" t="0" r="5080" b="0"/>
          <wp:wrapNone/>
          <wp:docPr id="4" name="Bild 4" descr="Kunden:rational_Kuechen:Geschaeftsausstattung:Briefbogen:2018:Word_Vorlage:Logo_Rational_schwarz-ohne-Qu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nden:rational_Kuechen:Geschaeftsausstattung:Briefbogen:2018:Word_Vorlage:Logo_Rational_schwarz-ohne-Quadrat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755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1D91">
      <w:rPr>
        <w:rFonts w:ascii="IBM Plex Sans ExtraLight" w:hAnsi="IBM Plex Sans ExtraLight"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AC4778" wp14:editId="0AC86D30">
              <wp:simplePos x="0" y="0"/>
              <wp:positionH relativeFrom="page">
                <wp:posOffset>269875</wp:posOffset>
              </wp:positionH>
              <wp:positionV relativeFrom="page">
                <wp:posOffset>3762375</wp:posOffset>
              </wp:positionV>
              <wp:extent cx="54000" cy="54000"/>
              <wp:effectExtent l="0" t="0" r="0" b="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54000"/>
                      </a:xfrm>
                      <a:prstGeom prst="rect">
                        <a:avLst/>
                      </a:prstGeom>
                      <a:solidFill>
                        <a:srgbClr val="EEA4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448D7" id="Rechteck 8" o:spid="_x0000_s1026" style="position:absolute;margin-left:21.25pt;margin-top:296.25pt;width:4.25pt;height:4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" fillcolor="#eea420" stroked="f">
              <w10:wrap anchorx="page" anchory="page"/>
            </v:rect>
          </w:pict>
        </mc:Fallback>
      </mc:AlternateContent>
    </w:r>
  </w:p>
  <w:p w:rsidR="00FD49A7" w:rsidRPr="00DE1D91" w:rsidRDefault="00FD49A7" w:rsidP="00864BC7">
    <w:pPr>
      <w:pStyle w:val="Kopfzeile"/>
      <w:rPr>
        <w:rFonts w:ascii="IBM Plex Sans ExtraLight" w:hAnsi="IBM Plex Sans ExtraLight"/>
        <w:sz w:val="16"/>
        <w:szCs w:val="16"/>
      </w:rPr>
    </w:pPr>
  </w:p>
  <w:p w:rsidR="00FD49A7" w:rsidRPr="00870C05" w:rsidRDefault="00FD49A7" w:rsidP="00864BC7">
    <w:pPr>
      <w:pStyle w:val="Kopfzeile"/>
      <w:tabs>
        <w:tab w:val="clear" w:pos="9072"/>
        <w:tab w:val="right" w:pos="9639"/>
      </w:tabs>
      <w:rPr>
        <w:rFonts w:ascii="IBM Plex Sans ExtraLight" w:hAnsi="IBM Plex Sans ExtraLight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A7" w:rsidRPr="00DD5F9E" w:rsidRDefault="00FD49A7" w:rsidP="000848B5">
    <w:pPr>
      <w:pStyle w:val="EinfAbs"/>
      <w:framePr w:wrap="around" w:vAnchor="page" w:hAnchor="page" w:x="1419" w:y="15764" w:anchorLock="1"/>
      <w:tabs>
        <w:tab w:val="right" w:pos="3106"/>
      </w:tabs>
      <w:rPr>
        <w:rFonts w:ascii="IBM Plex Sans Light" w:hAnsi="IBM Plex Sans Light" w:cs="Tahoma"/>
        <w:color w:val="000000" w:themeColor="text1"/>
        <w:sz w:val="22"/>
        <w:szCs w:val="22"/>
        <w:lang w:val="de-DE"/>
      </w:rPr>
    </w:pP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IF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NUMPAGES 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separate"/>
    </w:r>
    <w:r w:rsidR="00393799">
      <w:rPr>
        <w:rFonts w:ascii="IBM Plex Sans Light" w:hAnsi="IBM Plex Sans Light" w:cs="Tahoma"/>
        <w:noProof/>
        <w:color w:val="000000" w:themeColor="text1"/>
        <w:sz w:val="22"/>
        <w:szCs w:val="22"/>
        <w:lang w:val="de-DE"/>
      </w:rPr>
      <w:instrText>1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 = 1 "" "Seite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PAGE   \* MERGEFORMAT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separate"/>
    </w:r>
    <w:r w:rsidR="00B9363C">
      <w:rPr>
        <w:rFonts w:ascii="IBM Plex Sans Light" w:hAnsi="IBM Plex Sans Light" w:cs="Tahoma"/>
        <w:noProof/>
        <w:color w:val="000000" w:themeColor="text1"/>
        <w:sz w:val="22"/>
        <w:szCs w:val="22"/>
        <w:lang w:val="de-DE"/>
      </w:rPr>
      <w:instrText>1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von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NUMPAGES   \* MERGEFORMAT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separate"/>
    </w:r>
    <w:r w:rsidR="00B9363C">
      <w:rPr>
        <w:rFonts w:ascii="IBM Plex Sans Light" w:hAnsi="IBM Plex Sans Light" w:cs="Tahoma"/>
        <w:noProof/>
        <w:color w:val="000000" w:themeColor="text1"/>
        <w:sz w:val="22"/>
        <w:szCs w:val="22"/>
        <w:lang w:val="de-DE"/>
      </w:rPr>
      <w:instrText>2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>"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</w:p>
  <w:p w:rsidR="00AD6410" w:rsidRDefault="00AD6410">
    <w:pPr>
      <w:pStyle w:val="Kopfzeile"/>
      <w:rPr>
        <w:rFonts w:ascii="IBM Plex Sans Light" w:hAnsi="IBM Plex Sans Light"/>
      </w:rPr>
    </w:pPr>
  </w:p>
  <w:p w:rsidR="00AD6410" w:rsidRDefault="00AD6410">
    <w:pPr>
      <w:pStyle w:val="Kopfzeile"/>
      <w:rPr>
        <w:rFonts w:ascii="IBM Plex Sans Light" w:hAnsi="IBM Plex Sans Light"/>
      </w:rPr>
    </w:pPr>
  </w:p>
  <w:p w:rsidR="00AD6410" w:rsidRDefault="00AD6410">
    <w:pPr>
      <w:pStyle w:val="Kopfzeile"/>
      <w:rPr>
        <w:rFonts w:ascii="IBM Plex Sans Light" w:hAnsi="IBM Plex Sans Light"/>
      </w:rPr>
    </w:pPr>
  </w:p>
  <w:p w:rsidR="00FD49A7" w:rsidRPr="0048135F" w:rsidRDefault="00AD6410">
    <w:pPr>
      <w:pStyle w:val="Kopfzeile"/>
      <w:rPr>
        <w:rFonts w:ascii="IBM Plex Sans Light" w:hAnsi="IBM Plex Sans Light"/>
      </w:rPr>
    </w:pPr>
    <w:r>
      <w:rPr>
        <w:noProof/>
      </w:rPr>
      <w:drawing>
        <wp:anchor distT="0" distB="0" distL="114300" distR="114300" simplePos="0" relativeHeight="251747328" behindDoc="0" locked="0" layoutInCell="1" allowOverlap="1" wp14:anchorId="5D13B0DF" wp14:editId="57754363">
          <wp:simplePos x="0" y="0"/>
          <wp:positionH relativeFrom="column">
            <wp:posOffset>4902200</wp:posOffset>
          </wp:positionH>
          <wp:positionV relativeFrom="paragraph">
            <wp:posOffset>-374650</wp:posOffset>
          </wp:positionV>
          <wp:extent cx="958215" cy="553720"/>
          <wp:effectExtent l="0" t="0" r="0" b="0"/>
          <wp:wrapThrough wrapText="bothSides">
            <wp:wrapPolygon edited="0">
              <wp:start x="0" y="0"/>
              <wp:lineTo x="0" y="16844"/>
              <wp:lineTo x="3722" y="21303"/>
              <wp:lineTo x="6012" y="21303"/>
              <wp:lineTo x="20899" y="19321"/>
              <wp:lineTo x="21185" y="16349"/>
              <wp:lineTo x="18895" y="15853"/>
              <wp:lineTo x="21185" y="9413"/>
              <wp:lineTo x="21185" y="2972"/>
              <wp:lineTo x="859" y="0"/>
              <wp:lineTo x="0" y="0"/>
            </wp:wrapPolygon>
          </wp:wrapThrough>
          <wp:docPr id="2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A7" w:rsidRPr="0048135F">
      <w:rPr>
        <w:rFonts w:ascii="IBM Plex Sans Light" w:hAnsi="IBM Plex Sans Light"/>
        <w:noProof/>
      </w:rPr>
      <w:drawing>
        <wp:anchor distT="0" distB="0" distL="114300" distR="114300" simplePos="0" relativeHeight="251745280" behindDoc="1" locked="0" layoutInCell="1" allowOverlap="1" wp14:anchorId="5BDFFAFA" wp14:editId="24EE3B0C">
          <wp:simplePos x="0" y="0"/>
          <wp:positionH relativeFrom="page">
            <wp:posOffset>5490845</wp:posOffset>
          </wp:positionH>
          <wp:positionV relativeFrom="page">
            <wp:posOffset>540385</wp:posOffset>
          </wp:positionV>
          <wp:extent cx="1366755" cy="284400"/>
          <wp:effectExtent l="0" t="0" r="5080" b="0"/>
          <wp:wrapNone/>
          <wp:docPr id="5" name="Bild 5" descr="Kunden:rational_Kuechen:Geschaeftsausstattung:Briefbogen:2018:Word_Vorlage:Logo_Rational_schwarz-ohne-Qu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nden:rational_Kuechen:Geschaeftsausstattung:Briefbogen:2018:Word_Vorlage:Logo_Rational_schwarz-ohne-Quadrat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755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9A7" w:rsidRPr="0048135F">
      <w:rPr>
        <w:rFonts w:ascii="IBM Plex Sans Light" w:hAnsi="IBM Plex Sans Ligh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5A120" wp14:editId="7B27D0C6">
              <wp:simplePos x="0" y="0"/>
              <wp:positionH relativeFrom="page">
                <wp:posOffset>269875</wp:posOffset>
              </wp:positionH>
              <wp:positionV relativeFrom="page">
                <wp:posOffset>3762375</wp:posOffset>
              </wp:positionV>
              <wp:extent cx="54000" cy="54000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54000"/>
                      </a:xfrm>
                      <a:prstGeom prst="rect">
                        <a:avLst/>
                      </a:prstGeom>
                      <a:solidFill>
                        <a:srgbClr val="EEA4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81546F" id="Rechteck 7" o:spid="_x0000_s1026" style="position:absolute;margin-left:21.25pt;margin-top:296.25pt;width:4.2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" fillcolor="#eea42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B423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C42C4"/>
    <w:multiLevelType w:val="multilevel"/>
    <w:tmpl w:val="39F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F68E0"/>
    <w:multiLevelType w:val="hybridMultilevel"/>
    <w:tmpl w:val="F8044E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D0311"/>
    <w:multiLevelType w:val="hybridMultilevel"/>
    <w:tmpl w:val="175EED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C3"/>
    <w:rsid w:val="00004AE8"/>
    <w:rsid w:val="000071D7"/>
    <w:rsid w:val="000154E6"/>
    <w:rsid w:val="0001617D"/>
    <w:rsid w:val="00016699"/>
    <w:rsid w:val="000319BA"/>
    <w:rsid w:val="00031E8A"/>
    <w:rsid w:val="00034EE0"/>
    <w:rsid w:val="00037319"/>
    <w:rsid w:val="00037D81"/>
    <w:rsid w:val="00042089"/>
    <w:rsid w:val="000622D5"/>
    <w:rsid w:val="00065E53"/>
    <w:rsid w:val="00073075"/>
    <w:rsid w:val="0007669C"/>
    <w:rsid w:val="00076D83"/>
    <w:rsid w:val="000779A1"/>
    <w:rsid w:val="00082A43"/>
    <w:rsid w:val="000848B5"/>
    <w:rsid w:val="00084DF8"/>
    <w:rsid w:val="0008618A"/>
    <w:rsid w:val="0009004C"/>
    <w:rsid w:val="000925DC"/>
    <w:rsid w:val="00093836"/>
    <w:rsid w:val="000945DA"/>
    <w:rsid w:val="00097A42"/>
    <w:rsid w:val="000A07E4"/>
    <w:rsid w:val="000A42DE"/>
    <w:rsid w:val="000A447F"/>
    <w:rsid w:val="000B2962"/>
    <w:rsid w:val="000B73F4"/>
    <w:rsid w:val="000C478B"/>
    <w:rsid w:val="000C48EE"/>
    <w:rsid w:val="000E3786"/>
    <w:rsid w:val="000F0A09"/>
    <w:rsid w:val="000F6D8C"/>
    <w:rsid w:val="00107A8F"/>
    <w:rsid w:val="00114001"/>
    <w:rsid w:val="00121013"/>
    <w:rsid w:val="001216AC"/>
    <w:rsid w:val="00121D87"/>
    <w:rsid w:val="0012228E"/>
    <w:rsid w:val="00137656"/>
    <w:rsid w:val="00140DF3"/>
    <w:rsid w:val="0014325A"/>
    <w:rsid w:val="0015006B"/>
    <w:rsid w:val="00150848"/>
    <w:rsid w:val="001547B3"/>
    <w:rsid w:val="00157E0D"/>
    <w:rsid w:val="00164C4B"/>
    <w:rsid w:val="00167361"/>
    <w:rsid w:val="001724C3"/>
    <w:rsid w:val="001742E7"/>
    <w:rsid w:val="0019060A"/>
    <w:rsid w:val="00191E49"/>
    <w:rsid w:val="00193C90"/>
    <w:rsid w:val="00194C0E"/>
    <w:rsid w:val="001A01A2"/>
    <w:rsid w:val="001A09C6"/>
    <w:rsid w:val="001B61BC"/>
    <w:rsid w:val="001B7A42"/>
    <w:rsid w:val="001C2BB8"/>
    <w:rsid w:val="001C3611"/>
    <w:rsid w:val="001C39EC"/>
    <w:rsid w:val="001D4E4B"/>
    <w:rsid w:val="001E1A4C"/>
    <w:rsid w:val="001E5814"/>
    <w:rsid w:val="001F2377"/>
    <w:rsid w:val="001F3A42"/>
    <w:rsid w:val="0020278D"/>
    <w:rsid w:val="00205250"/>
    <w:rsid w:val="00206328"/>
    <w:rsid w:val="00216A90"/>
    <w:rsid w:val="002207F7"/>
    <w:rsid w:val="00225230"/>
    <w:rsid w:val="00225A96"/>
    <w:rsid w:val="00230AFF"/>
    <w:rsid w:val="00231788"/>
    <w:rsid w:val="0024351A"/>
    <w:rsid w:val="00247CF9"/>
    <w:rsid w:val="0025088C"/>
    <w:rsid w:val="00271AA0"/>
    <w:rsid w:val="00271D44"/>
    <w:rsid w:val="00272547"/>
    <w:rsid w:val="00272B84"/>
    <w:rsid w:val="00273779"/>
    <w:rsid w:val="00275CB8"/>
    <w:rsid w:val="00283008"/>
    <w:rsid w:val="00284586"/>
    <w:rsid w:val="002950CC"/>
    <w:rsid w:val="002979ED"/>
    <w:rsid w:val="002A2C5C"/>
    <w:rsid w:val="002A5F05"/>
    <w:rsid w:val="002A6D4B"/>
    <w:rsid w:val="002B0022"/>
    <w:rsid w:val="002B01F8"/>
    <w:rsid w:val="002B6BEB"/>
    <w:rsid w:val="002D1A48"/>
    <w:rsid w:val="002E66E4"/>
    <w:rsid w:val="002E7C40"/>
    <w:rsid w:val="002F0616"/>
    <w:rsid w:val="002F6D22"/>
    <w:rsid w:val="003035F1"/>
    <w:rsid w:val="003135CB"/>
    <w:rsid w:val="0031665E"/>
    <w:rsid w:val="00343966"/>
    <w:rsid w:val="00351274"/>
    <w:rsid w:val="0035160E"/>
    <w:rsid w:val="00352B7E"/>
    <w:rsid w:val="00364550"/>
    <w:rsid w:val="00376181"/>
    <w:rsid w:val="00376C4D"/>
    <w:rsid w:val="00376EF8"/>
    <w:rsid w:val="00381641"/>
    <w:rsid w:val="003818DB"/>
    <w:rsid w:val="00381F8D"/>
    <w:rsid w:val="003838D9"/>
    <w:rsid w:val="00384A55"/>
    <w:rsid w:val="00386AE0"/>
    <w:rsid w:val="00392F12"/>
    <w:rsid w:val="00393799"/>
    <w:rsid w:val="003943E4"/>
    <w:rsid w:val="003A30E6"/>
    <w:rsid w:val="003B2A33"/>
    <w:rsid w:val="003B4B7D"/>
    <w:rsid w:val="003C5320"/>
    <w:rsid w:val="003C5E93"/>
    <w:rsid w:val="003D3897"/>
    <w:rsid w:val="003E1CB6"/>
    <w:rsid w:val="003E2144"/>
    <w:rsid w:val="00404E5E"/>
    <w:rsid w:val="00406995"/>
    <w:rsid w:val="004069E1"/>
    <w:rsid w:val="00411FFF"/>
    <w:rsid w:val="0041744C"/>
    <w:rsid w:val="004224AD"/>
    <w:rsid w:val="00422E8E"/>
    <w:rsid w:val="00426DAD"/>
    <w:rsid w:val="00433E6E"/>
    <w:rsid w:val="00444ABB"/>
    <w:rsid w:val="00447468"/>
    <w:rsid w:val="00451C46"/>
    <w:rsid w:val="004562D3"/>
    <w:rsid w:val="00456B66"/>
    <w:rsid w:val="0045709E"/>
    <w:rsid w:val="00461600"/>
    <w:rsid w:val="00464216"/>
    <w:rsid w:val="00471983"/>
    <w:rsid w:val="00472123"/>
    <w:rsid w:val="00474A1D"/>
    <w:rsid w:val="0047511A"/>
    <w:rsid w:val="00480905"/>
    <w:rsid w:val="0048135F"/>
    <w:rsid w:val="00481CB1"/>
    <w:rsid w:val="004851B1"/>
    <w:rsid w:val="00486F10"/>
    <w:rsid w:val="00490B86"/>
    <w:rsid w:val="00490E9A"/>
    <w:rsid w:val="004951EB"/>
    <w:rsid w:val="004A3CDE"/>
    <w:rsid w:val="004B22A9"/>
    <w:rsid w:val="004D1E23"/>
    <w:rsid w:val="004D2738"/>
    <w:rsid w:val="004D6D10"/>
    <w:rsid w:val="004D7876"/>
    <w:rsid w:val="004E360F"/>
    <w:rsid w:val="004F3A50"/>
    <w:rsid w:val="004F4328"/>
    <w:rsid w:val="004F5FCF"/>
    <w:rsid w:val="0050028B"/>
    <w:rsid w:val="00512BB8"/>
    <w:rsid w:val="005177E3"/>
    <w:rsid w:val="00517BE8"/>
    <w:rsid w:val="00526B95"/>
    <w:rsid w:val="0052739D"/>
    <w:rsid w:val="005359D2"/>
    <w:rsid w:val="00541208"/>
    <w:rsid w:val="00545034"/>
    <w:rsid w:val="005515C1"/>
    <w:rsid w:val="00556603"/>
    <w:rsid w:val="00560B57"/>
    <w:rsid w:val="005614B9"/>
    <w:rsid w:val="00570658"/>
    <w:rsid w:val="00571537"/>
    <w:rsid w:val="00571CE7"/>
    <w:rsid w:val="00574CE2"/>
    <w:rsid w:val="00575E78"/>
    <w:rsid w:val="00576608"/>
    <w:rsid w:val="005809AE"/>
    <w:rsid w:val="00583FB6"/>
    <w:rsid w:val="005852A0"/>
    <w:rsid w:val="0058694F"/>
    <w:rsid w:val="00595BE0"/>
    <w:rsid w:val="0059623E"/>
    <w:rsid w:val="005A05C4"/>
    <w:rsid w:val="005A1D9D"/>
    <w:rsid w:val="005A56E6"/>
    <w:rsid w:val="005B3FD9"/>
    <w:rsid w:val="005C3892"/>
    <w:rsid w:val="005C712C"/>
    <w:rsid w:val="005D055C"/>
    <w:rsid w:val="005E443A"/>
    <w:rsid w:val="005E63EE"/>
    <w:rsid w:val="005E7E71"/>
    <w:rsid w:val="005F76B1"/>
    <w:rsid w:val="006039B3"/>
    <w:rsid w:val="00613B74"/>
    <w:rsid w:val="0061521F"/>
    <w:rsid w:val="00617538"/>
    <w:rsid w:val="006224FC"/>
    <w:rsid w:val="006229FE"/>
    <w:rsid w:val="00625A96"/>
    <w:rsid w:val="0063131B"/>
    <w:rsid w:val="00634737"/>
    <w:rsid w:val="0064068E"/>
    <w:rsid w:val="00646E67"/>
    <w:rsid w:val="00656536"/>
    <w:rsid w:val="00657FC2"/>
    <w:rsid w:val="006640D9"/>
    <w:rsid w:val="00664E71"/>
    <w:rsid w:val="006666E0"/>
    <w:rsid w:val="00671BD8"/>
    <w:rsid w:val="00673D12"/>
    <w:rsid w:val="0069357D"/>
    <w:rsid w:val="00693A84"/>
    <w:rsid w:val="006A14D0"/>
    <w:rsid w:val="006B08CA"/>
    <w:rsid w:val="006B0C51"/>
    <w:rsid w:val="006B2FF5"/>
    <w:rsid w:val="006C3FE4"/>
    <w:rsid w:val="006D318C"/>
    <w:rsid w:val="006D3DA2"/>
    <w:rsid w:val="006E0529"/>
    <w:rsid w:val="006E19FC"/>
    <w:rsid w:val="006E4402"/>
    <w:rsid w:val="006F1AD9"/>
    <w:rsid w:val="006F74D0"/>
    <w:rsid w:val="00706813"/>
    <w:rsid w:val="00717B13"/>
    <w:rsid w:val="007228C0"/>
    <w:rsid w:val="00723B41"/>
    <w:rsid w:val="00730311"/>
    <w:rsid w:val="00731F40"/>
    <w:rsid w:val="00735DCE"/>
    <w:rsid w:val="00744887"/>
    <w:rsid w:val="00763CA2"/>
    <w:rsid w:val="007641C6"/>
    <w:rsid w:val="0076561E"/>
    <w:rsid w:val="00766E8B"/>
    <w:rsid w:val="00770BCC"/>
    <w:rsid w:val="00771603"/>
    <w:rsid w:val="00775772"/>
    <w:rsid w:val="00776E78"/>
    <w:rsid w:val="00784A69"/>
    <w:rsid w:val="007911F0"/>
    <w:rsid w:val="00796A02"/>
    <w:rsid w:val="007A09D4"/>
    <w:rsid w:val="007A1C87"/>
    <w:rsid w:val="007A4C2F"/>
    <w:rsid w:val="007B5941"/>
    <w:rsid w:val="007B7106"/>
    <w:rsid w:val="007C5D4B"/>
    <w:rsid w:val="007C63D1"/>
    <w:rsid w:val="007C7668"/>
    <w:rsid w:val="007C7F3A"/>
    <w:rsid w:val="007D64A3"/>
    <w:rsid w:val="007E2358"/>
    <w:rsid w:val="007F0B4A"/>
    <w:rsid w:val="007F1D5D"/>
    <w:rsid w:val="007F3C62"/>
    <w:rsid w:val="00804DEF"/>
    <w:rsid w:val="008224CB"/>
    <w:rsid w:val="008227BD"/>
    <w:rsid w:val="0082473A"/>
    <w:rsid w:val="00830CD5"/>
    <w:rsid w:val="00832CFA"/>
    <w:rsid w:val="00833554"/>
    <w:rsid w:val="00835A98"/>
    <w:rsid w:val="00836DCF"/>
    <w:rsid w:val="00845FF9"/>
    <w:rsid w:val="0085475B"/>
    <w:rsid w:val="0085760C"/>
    <w:rsid w:val="0086087F"/>
    <w:rsid w:val="00863FC9"/>
    <w:rsid w:val="00864BC7"/>
    <w:rsid w:val="00866660"/>
    <w:rsid w:val="00866B75"/>
    <w:rsid w:val="00870C05"/>
    <w:rsid w:val="00873E6F"/>
    <w:rsid w:val="00873F58"/>
    <w:rsid w:val="00874F0E"/>
    <w:rsid w:val="00875FDD"/>
    <w:rsid w:val="008802AC"/>
    <w:rsid w:val="00893D0F"/>
    <w:rsid w:val="008A205C"/>
    <w:rsid w:val="008A397D"/>
    <w:rsid w:val="008B0936"/>
    <w:rsid w:val="008B74C6"/>
    <w:rsid w:val="008C0B6D"/>
    <w:rsid w:val="008C4E5B"/>
    <w:rsid w:val="008D0448"/>
    <w:rsid w:val="008D105F"/>
    <w:rsid w:val="008D245C"/>
    <w:rsid w:val="008D461E"/>
    <w:rsid w:val="008D5A8A"/>
    <w:rsid w:val="008E315F"/>
    <w:rsid w:val="008E3F26"/>
    <w:rsid w:val="008E4B25"/>
    <w:rsid w:val="008E7FE0"/>
    <w:rsid w:val="008F3DF6"/>
    <w:rsid w:val="00912DB7"/>
    <w:rsid w:val="00913A59"/>
    <w:rsid w:val="0091499E"/>
    <w:rsid w:val="009166A3"/>
    <w:rsid w:val="009171B6"/>
    <w:rsid w:val="0091776F"/>
    <w:rsid w:val="00921B80"/>
    <w:rsid w:val="0092794D"/>
    <w:rsid w:val="00943985"/>
    <w:rsid w:val="00946851"/>
    <w:rsid w:val="00962DA1"/>
    <w:rsid w:val="00964CD7"/>
    <w:rsid w:val="009665EF"/>
    <w:rsid w:val="0097055D"/>
    <w:rsid w:val="009727EC"/>
    <w:rsid w:val="009729A0"/>
    <w:rsid w:val="009742E2"/>
    <w:rsid w:val="009837E5"/>
    <w:rsid w:val="00987793"/>
    <w:rsid w:val="0099087A"/>
    <w:rsid w:val="00992F57"/>
    <w:rsid w:val="0099588F"/>
    <w:rsid w:val="00995EC3"/>
    <w:rsid w:val="009A3C24"/>
    <w:rsid w:val="009A6F62"/>
    <w:rsid w:val="009A76B1"/>
    <w:rsid w:val="009B2800"/>
    <w:rsid w:val="009B41BA"/>
    <w:rsid w:val="009B5586"/>
    <w:rsid w:val="009C2210"/>
    <w:rsid w:val="009C2366"/>
    <w:rsid w:val="009C5BA3"/>
    <w:rsid w:val="009C5DD6"/>
    <w:rsid w:val="009D249F"/>
    <w:rsid w:val="009D517C"/>
    <w:rsid w:val="009D6B25"/>
    <w:rsid w:val="009E68AD"/>
    <w:rsid w:val="00A01D1A"/>
    <w:rsid w:val="00A02066"/>
    <w:rsid w:val="00A0514D"/>
    <w:rsid w:val="00A05A44"/>
    <w:rsid w:val="00A108AF"/>
    <w:rsid w:val="00A110DE"/>
    <w:rsid w:val="00A11193"/>
    <w:rsid w:val="00A12C92"/>
    <w:rsid w:val="00A13BED"/>
    <w:rsid w:val="00A2081E"/>
    <w:rsid w:val="00A230E2"/>
    <w:rsid w:val="00A27412"/>
    <w:rsid w:val="00A33415"/>
    <w:rsid w:val="00A45197"/>
    <w:rsid w:val="00A46889"/>
    <w:rsid w:val="00A51C0B"/>
    <w:rsid w:val="00A54D77"/>
    <w:rsid w:val="00A55683"/>
    <w:rsid w:val="00A61B07"/>
    <w:rsid w:val="00A77BC2"/>
    <w:rsid w:val="00A87B21"/>
    <w:rsid w:val="00AA448E"/>
    <w:rsid w:val="00AA74FE"/>
    <w:rsid w:val="00AB1DD2"/>
    <w:rsid w:val="00AC44E8"/>
    <w:rsid w:val="00AD0989"/>
    <w:rsid w:val="00AD3EE4"/>
    <w:rsid w:val="00AD639B"/>
    <w:rsid w:val="00AD6410"/>
    <w:rsid w:val="00AE091C"/>
    <w:rsid w:val="00AE0AB6"/>
    <w:rsid w:val="00AE6F33"/>
    <w:rsid w:val="00AE7E11"/>
    <w:rsid w:val="00AF79A5"/>
    <w:rsid w:val="00B06775"/>
    <w:rsid w:val="00B11C7C"/>
    <w:rsid w:val="00B17180"/>
    <w:rsid w:val="00B22D2D"/>
    <w:rsid w:val="00B26080"/>
    <w:rsid w:val="00B3215B"/>
    <w:rsid w:val="00B3587D"/>
    <w:rsid w:val="00B36DF3"/>
    <w:rsid w:val="00B41439"/>
    <w:rsid w:val="00B446C1"/>
    <w:rsid w:val="00B446EA"/>
    <w:rsid w:val="00B45EB4"/>
    <w:rsid w:val="00B5265D"/>
    <w:rsid w:val="00B531EA"/>
    <w:rsid w:val="00B54310"/>
    <w:rsid w:val="00B5764B"/>
    <w:rsid w:val="00B625B1"/>
    <w:rsid w:val="00B6385A"/>
    <w:rsid w:val="00B65953"/>
    <w:rsid w:val="00B7701A"/>
    <w:rsid w:val="00B77A56"/>
    <w:rsid w:val="00B77E57"/>
    <w:rsid w:val="00B82E34"/>
    <w:rsid w:val="00B849BA"/>
    <w:rsid w:val="00B9363C"/>
    <w:rsid w:val="00B968F7"/>
    <w:rsid w:val="00BB5FF1"/>
    <w:rsid w:val="00BB6D1D"/>
    <w:rsid w:val="00BB6E77"/>
    <w:rsid w:val="00BC199B"/>
    <w:rsid w:val="00BC361B"/>
    <w:rsid w:val="00BC5EBF"/>
    <w:rsid w:val="00BC6FA5"/>
    <w:rsid w:val="00BC728F"/>
    <w:rsid w:val="00BD2A2B"/>
    <w:rsid w:val="00BD6DFC"/>
    <w:rsid w:val="00BE01D6"/>
    <w:rsid w:val="00BE0E0D"/>
    <w:rsid w:val="00BE1C1B"/>
    <w:rsid w:val="00BF477E"/>
    <w:rsid w:val="00C04801"/>
    <w:rsid w:val="00C130C0"/>
    <w:rsid w:val="00C24B9D"/>
    <w:rsid w:val="00C271C9"/>
    <w:rsid w:val="00C27EFA"/>
    <w:rsid w:val="00C338E3"/>
    <w:rsid w:val="00C375F2"/>
    <w:rsid w:val="00C44AE0"/>
    <w:rsid w:val="00C53445"/>
    <w:rsid w:val="00C56C11"/>
    <w:rsid w:val="00C61901"/>
    <w:rsid w:val="00C7548C"/>
    <w:rsid w:val="00C760F2"/>
    <w:rsid w:val="00C84457"/>
    <w:rsid w:val="00C84BB3"/>
    <w:rsid w:val="00C85379"/>
    <w:rsid w:val="00C91C86"/>
    <w:rsid w:val="00C954AC"/>
    <w:rsid w:val="00C97778"/>
    <w:rsid w:val="00CB2C93"/>
    <w:rsid w:val="00CB36D9"/>
    <w:rsid w:val="00CB3C70"/>
    <w:rsid w:val="00CB4D3E"/>
    <w:rsid w:val="00CB63E3"/>
    <w:rsid w:val="00CC2662"/>
    <w:rsid w:val="00CC6A6F"/>
    <w:rsid w:val="00CE231A"/>
    <w:rsid w:val="00CE3043"/>
    <w:rsid w:val="00CE3340"/>
    <w:rsid w:val="00CF4462"/>
    <w:rsid w:val="00CF4BE5"/>
    <w:rsid w:val="00D0492E"/>
    <w:rsid w:val="00D04D45"/>
    <w:rsid w:val="00D05085"/>
    <w:rsid w:val="00D11265"/>
    <w:rsid w:val="00D14466"/>
    <w:rsid w:val="00D22315"/>
    <w:rsid w:val="00D23D50"/>
    <w:rsid w:val="00D2536B"/>
    <w:rsid w:val="00D26EE1"/>
    <w:rsid w:val="00D34EA0"/>
    <w:rsid w:val="00D35928"/>
    <w:rsid w:val="00D35993"/>
    <w:rsid w:val="00D36B8C"/>
    <w:rsid w:val="00D41978"/>
    <w:rsid w:val="00D42D71"/>
    <w:rsid w:val="00D44C40"/>
    <w:rsid w:val="00D6618A"/>
    <w:rsid w:val="00D67325"/>
    <w:rsid w:val="00D6789B"/>
    <w:rsid w:val="00D75B10"/>
    <w:rsid w:val="00D76182"/>
    <w:rsid w:val="00D77E9F"/>
    <w:rsid w:val="00D82CAB"/>
    <w:rsid w:val="00D91F6A"/>
    <w:rsid w:val="00D9799F"/>
    <w:rsid w:val="00DA0B00"/>
    <w:rsid w:val="00DA1C9E"/>
    <w:rsid w:val="00DA21F9"/>
    <w:rsid w:val="00DA4729"/>
    <w:rsid w:val="00DA6634"/>
    <w:rsid w:val="00DA7EF8"/>
    <w:rsid w:val="00DB0E80"/>
    <w:rsid w:val="00DB235E"/>
    <w:rsid w:val="00DB2B05"/>
    <w:rsid w:val="00DB439D"/>
    <w:rsid w:val="00DC2510"/>
    <w:rsid w:val="00DD0B29"/>
    <w:rsid w:val="00DD1245"/>
    <w:rsid w:val="00DD5F9E"/>
    <w:rsid w:val="00DE1D91"/>
    <w:rsid w:val="00DE2579"/>
    <w:rsid w:val="00DE44A6"/>
    <w:rsid w:val="00DE7291"/>
    <w:rsid w:val="00DF2CDB"/>
    <w:rsid w:val="00DF4803"/>
    <w:rsid w:val="00DF4DA8"/>
    <w:rsid w:val="00E02C98"/>
    <w:rsid w:val="00E06AAE"/>
    <w:rsid w:val="00E07A7E"/>
    <w:rsid w:val="00E11301"/>
    <w:rsid w:val="00E13B8F"/>
    <w:rsid w:val="00E171AC"/>
    <w:rsid w:val="00E20BE5"/>
    <w:rsid w:val="00E34CB1"/>
    <w:rsid w:val="00E34F5D"/>
    <w:rsid w:val="00E36630"/>
    <w:rsid w:val="00E466A7"/>
    <w:rsid w:val="00E51093"/>
    <w:rsid w:val="00E55C1E"/>
    <w:rsid w:val="00E5678F"/>
    <w:rsid w:val="00E63248"/>
    <w:rsid w:val="00E6717E"/>
    <w:rsid w:val="00E73555"/>
    <w:rsid w:val="00E7481A"/>
    <w:rsid w:val="00E81C72"/>
    <w:rsid w:val="00E82328"/>
    <w:rsid w:val="00E90422"/>
    <w:rsid w:val="00E92EF9"/>
    <w:rsid w:val="00E9332B"/>
    <w:rsid w:val="00E94361"/>
    <w:rsid w:val="00E95790"/>
    <w:rsid w:val="00E977DA"/>
    <w:rsid w:val="00E97924"/>
    <w:rsid w:val="00EA0CEE"/>
    <w:rsid w:val="00EA444E"/>
    <w:rsid w:val="00EA4A4D"/>
    <w:rsid w:val="00EA5C7E"/>
    <w:rsid w:val="00EB2EA7"/>
    <w:rsid w:val="00EB3FBE"/>
    <w:rsid w:val="00EB4B0D"/>
    <w:rsid w:val="00EC3643"/>
    <w:rsid w:val="00EC445F"/>
    <w:rsid w:val="00EE702A"/>
    <w:rsid w:val="00EF4316"/>
    <w:rsid w:val="00EF4465"/>
    <w:rsid w:val="00F0543F"/>
    <w:rsid w:val="00F05905"/>
    <w:rsid w:val="00F07CE4"/>
    <w:rsid w:val="00F137D1"/>
    <w:rsid w:val="00F2646D"/>
    <w:rsid w:val="00F2769C"/>
    <w:rsid w:val="00F31610"/>
    <w:rsid w:val="00F33532"/>
    <w:rsid w:val="00F33E8B"/>
    <w:rsid w:val="00F37FEF"/>
    <w:rsid w:val="00F41C14"/>
    <w:rsid w:val="00F43ECD"/>
    <w:rsid w:val="00F4663B"/>
    <w:rsid w:val="00F46A85"/>
    <w:rsid w:val="00F538AA"/>
    <w:rsid w:val="00F53AD9"/>
    <w:rsid w:val="00F55746"/>
    <w:rsid w:val="00F630C5"/>
    <w:rsid w:val="00F65270"/>
    <w:rsid w:val="00F66FB5"/>
    <w:rsid w:val="00F712E3"/>
    <w:rsid w:val="00F71832"/>
    <w:rsid w:val="00F75014"/>
    <w:rsid w:val="00F81705"/>
    <w:rsid w:val="00F8365D"/>
    <w:rsid w:val="00F84B23"/>
    <w:rsid w:val="00F85B02"/>
    <w:rsid w:val="00F871FC"/>
    <w:rsid w:val="00F9113E"/>
    <w:rsid w:val="00F92592"/>
    <w:rsid w:val="00F93CE3"/>
    <w:rsid w:val="00F951BD"/>
    <w:rsid w:val="00FA16EE"/>
    <w:rsid w:val="00FA3CFC"/>
    <w:rsid w:val="00FC5466"/>
    <w:rsid w:val="00FC796F"/>
    <w:rsid w:val="00FD49A7"/>
    <w:rsid w:val="00FD6EC8"/>
    <w:rsid w:val="00FD7FD0"/>
    <w:rsid w:val="00FF057A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62D6E"/>
  <w15:docId w15:val="{6C9D893A-73CE-514E-99D7-019862E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328"/>
    <w:rPr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D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D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AD0989"/>
    <w:rPr>
      <w:b w:val="0"/>
      <w:bCs/>
      <w:bdr w:val="none" w:sz="0" w:space="0" w:color="auto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92F57"/>
    <w:rPr>
      <w:rFonts w:ascii="Arial" w:hAnsi="Arial" w:cs="Arial"/>
      <w:sz w:val="22"/>
      <w:szCs w:val="24"/>
    </w:rPr>
  </w:style>
  <w:style w:type="character" w:customStyle="1" w:styleId="KopfzeileZchn">
    <w:name w:val="Kopfzeile Zchn"/>
    <w:link w:val="Kopfzeile"/>
    <w:uiPriority w:val="99"/>
    <w:rsid w:val="00B22D2D"/>
    <w:rPr>
      <w:sz w:val="24"/>
    </w:rPr>
  </w:style>
  <w:style w:type="character" w:customStyle="1" w:styleId="berschrift4Zchn">
    <w:name w:val="Überschrift 4 Zchn"/>
    <w:link w:val="berschrift4"/>
    <w:uiPriority w:val="9"/>
    <w:semiHidden/>
    <w:rsid w:val="00B22D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6Zchn">
    <w:name w:val="Überschrift 6 Zchn"/>
    <w:link w:val="berschrift6"/>
    <w:uiPriority w:val="9"/>
    <w:semiHidden/>
    <w:rsid w:val="00B22D2D"/>
    <w:rPr>
      <w:rFonts w:ascii="Calibri" w:eastAsia="Times New Roman" w:hAnsi="Calibri" w:cs="Times New Roman"/>
      <w:b/>
      <w:bCs/>
      <w:sz w:val="22"/>
      <w:szCs w:val="22"/>
    </w:rPr>
  </w:style>
  <w:style w:type="table" w:styleId="Tabellenraster">
    <w:name w:val="Table Grid"/>
    <w:basedOn w:val="NormaleTabelle"/>
    <w:uiPriority w:val="59"/>
    <w:rsid w:val="0066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004AE8"/>
  </w:style>
  <w:style w:type="paragraph" w:customStyle="1" w:styleId="EinfAbs">
    <w:name w:val="[Einf. Abs.]"/>
    <w:basedOn w:val="Standard"/>
    <w:uiPriority w:val="99"/>
    <w:rsid w:val="009727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NotizEbene21">
    <w:name w:val="Notiz Ebene 21"/>
    <w:basedOn w:val="Standard"/>
    <w:uiPriority w:val="1"/>
    <w:qFormat/>
    <w:rsid w:val="00AD0989"/>
    <w:pPr>
      <w:keepNext/>
      <w:numPr>
        <w:ilvl w:val="1"/>
        <w:numId w:val="4"/>
      </w:numPr>
      <w:contextualSpacing/>
      <w:outlineLvl w:val="1"/>
    </w:pPr>
    <w:rPr>
      <w:rFonts w:ascii="Verdana" w:hAnsi="Verdana"/>
    </w:rPr>
  </w:style>
  <w:style w:type="paragraph" w:styleId="Titel">
    <w:name w:val="Title"/>
    <w:basedOn w:val="Standard"/>
    <w:next w:val="Standard"/>
    <w:link w:val="TitelZchn"/>
    <w:uiPriority w:val="10"/>
    <w:qFormat/>
    <w:rsid w:val="00AD0989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D0989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5177E3"/>
  </w:style>
  <w:style w:type="character" w:styleId="BesuchterLink">
    <w:name w:val="FollowedHyperlink"/>
    <w:basedOn w:val="Absatz-Standardschriftart"/>
    <w:uiPriority w:val="99"/>
    <w:semiHidden/>
    <w:unhideWhenUsed/>
    <w:rsid w:val="00B446C1"/>
    <w:rPr>
      <w:color w:val="800080" w:themeColor="followedHyperlink"/>
      <w:u w:val="single"/>
    </w:rPr>
  </w:style>
  <w:style w:type="paragraph" w:styleId="berarbeitung">
    <w:name w:val="Revision"/>
    <w:hidden/>
    <w:uiPriority w:val="71"/>
    <w:rsid w:val="00D75B10"/>
    <w:rPr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D5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4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4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1997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152189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AEE59-C4BE-A64A-A84F-8C345D8E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CTE Automotive GmbH Großer Fledderweg 76 49084 Osnabrück</vt:lpstr>
    </vt:vector>
  </TitlesOfParts>
  <Company>CTE GmbH</Company>
  <LinksUpToDate>false</LinksUpToDate>
  <CharactersWithSpaces>868</CharactersWithSpaces>
  <SharedDoc>false</SharedDoc>
  <HLinks>
    <vt:vector size="42" baseType="variant">
      <vt:variant>
        <vt:i4>103</vt:i4>
      </vt:variant>
      <vt:variant>
        <vt:i4>2168</vt:i4>
      </vt:variant>
      <vt:variant>
        <vt:i4>1025</vt:i4>
      </vt:variant>
      <vt:variant>
        <vt:i4>1</vt:i4>
      </vt:variant>
      <vt:variant>
        <vt:lpwstr>Linie</vt:lpwstr>
      </vt:variant>
      <vt:variant>
        <vt:lpwstr/>
      </vt:variant>
      <vt:variant>
        <vt:i4>103</vt:i4>
      </vt:variant>
      <vt:variant>
        <vt:i4>6430</vt:i4>
      </vt:variant>
      <vt:variant>
        <vt:i4>1026</vt:i4>
      </vt:variant>
      <vt:variant>
        <vt:i4>1</vt:i4>
      </vt:variant>
      <vt:variant>
        <vt:lpwstr>Linie</vt:lpwstr>
      </vt:variant>
      <vt:variant>
        <vt:lpwstr/>
      </vt:variant>
      <vt:variant>
        <vt:i4>393230</vt:i4>
      </vt:variant>
      <vt:variant>
        <vt:i4>6438</vt:i4>
      </vt:variant>
      <vt:variant>
        <vt:i4>1027</vt:i4>
      </vt:variant>
      <vt:variant>
        <vt:i4>1</vt:i4>
      </vt:variant>
      <vt:variant>
        <vt:lpwstr>Ecke</vt:lpwstr>
      </vt:variant>
      <vt:variant>
        <vt:lpwstr/>
      </vt:variant>
      <vt:variant>
        <vt:i4>7798897</vt:i4>
      </vt:variant>
      <vt:variant>
        <vt:i4>-1</vt:i4>
      </vt:variant>
      <vt:variant>
        <vt:i4>2071</vt:i4>
      </vt:variant>
      <vt:variant>
        <vt:i4>1</vt:i4>
      </vt:variant>
      <vt:variant>
        <vt:lpwstr>Symbol</vt:lpwstr>
      </vt:variant>
      <vt:variant>
        <vt:lpwstr/>
      </vt:variant>
      <vt:variant>
        <vt:i4>4063267</vt:i4>
      </vt:variant>
      <vt:variant>
        <vt:i4>-1</vt:i4>
      </vt:variant>
      <vt:variant>
        <vt:i4>2072</vt:i4>
      </vt:variant>
      <vt:variant>
        <vt:i4>1</vt:i4>
      </vt:variant>
      <vt:variant>
        <vt:lpwstr>Commeo_Briefbogen_Anschreiben_2017_07_Freigegeben_Seite1_Kopf55</vt:lpwstr>
      </vt:variant>
      <vt:variant>
        <vt:lpwstr/>
      </vt:variant>
      <vt:variant>
        <vt:i4>10092633</vt:i4>
      </vt:variant>
      <vt:variant>
        <vt:i4>-1</vt:i4>
      </vt:variant>
      <vt:variant>
        <vt:i4>2074</vt:i4>
      </vt:variant>
      <vt:variant>
        <vt:i4>1</vt:i4>
      </vt:variant>
      <vt:variant>
        <vt:lpwstr>Commeo_Briefbogen_Anschreiben_2017_07_Freigegeben_Seite1_Fuß33</vt:lpwstr>
      </vt:variant>
      <vt:variant>
        <vt:lpwstr/>
      </vt:variant>
      <vt:variant>
        <vt:i4>3997731</vt:i4>
      </vt:variant>
      <vt:variant>
        <vt:i4>-1</vt:i4>
      </vt:variant>
      <vt:variant>
        <vt:i4>2075</vt:i4>
      </vt:variant>
      <vt:variant>
        <vt:i4>1</vt:i4>
      </vt:variant>
      <vt:variant>
        <vt:lpwstr>Commeo_Briefbogen_Anschreiben_2017_07_Freigegeben_Seite2_Kopf55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Automotive GmbH Großer Fledderweg 76 49084 Osnabrück</dc:title>
  <dc:creator>Elke Pfeiffer</dc:creator>
  <cp:lastModifiedBy>Elke Pfeiffer</cp:lastModifiedBy>
  <cp:revision>24</cp:revision>
  <cp:lastPrinted>2019-08-16T07:19:00Z</cp:lastPrinted>
  <dcterms:created xsi:type="dcterms:W3CDTF">2018-12-07T09:22:00Z</dcterms:created>
  <dcterms:modified xsi:type="dcterms:W3CDTF">2019-12-02T07:48:00Z</dcterms:modified>
</cp:coreProperties>
</file>