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F07CE4" w:rsidRDefault="009E5C22" w:rsidP="00F07CE4">
      <w:pPr>
        <w:rPr>
          <w:rFonts w:ascii="IBM Plex Sans" w:hAnsi="IBM Plex Sans"/>
          <w:b/>
          <w:sz w:val="24"/>
          <w:szCs w:val="24"/>
        </w:rPr>
      </w:pPr>
      <w:proofErr w:type="gramStart"/>
      <w:r>
        <w:rPr>
          <w:rFonts w:ascii="IBM Plex Sans" w:hAnsi="IBM Plex Sans"/>
          <w:b/>
          <w:sz w:val="24"/>
          <w:szCs w:val="24"/>
        </w:rPr>
        <w:t>Pressetext</w:t>
      </w:r>
      <w:r w:rsidR="00F07CE4" w:rsidRPr="00F07CE4">
        <w:rPr>
          <w:rFonts w:ascii="IBM Plex Sans" w:hAnsi="IBM Plex Sans"/>
          <w:b/>
          <w:sz w:val="24"/>
          <w:szCs w:val="24"/>
        </w:rPr>
        <w:t xml:space="preserve">  </w:t>
      </w:r>
      <w:proofErr w:type="spellStart"/>
      <w:r w:rsidR="00F07CE4" w:rsidRPr="00F07CE4">
        <w:rPr>
          <w:rFonts w:ascii="IBM Plex Sans" w:hAnsi="IBM Plex Sans"/>
          <w:b/>
          <w:sz w:val="24"/>
          <w:szCs w:val="24"/>
        </w:rPr>
        <w:t>nautic</w:t>
      </w:r>
      <w:proofErr w:type="spellEnd"/>
      <w:proofErr w:type="gramEnd"/>
      <w:r w:rsidR="00F07CE4" w:rsidRPr="00F07CE4">
        <w:rPr>
          <w:rFonts w:ascii="IBM Plex Sans" w:hAnsi="IBM Plex Sans"/>
          <w:b/>
          <w:sz w:val="24"/>
          <w:szCs w:val="24"/>
        </w:rPr>
        <w:t xml:space="preserve"> – Fenix / cascade</w:t>
      </w:r>
    </w:p>
    <w:p w:rsidR="00F07CE4" w:rsidRP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F07CE4" w:rsidRP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F07CE4" w:rsidRPr="00B06775" w:rsidRDefault="00F92592" w:rsidP="00F07CE4">
      <w:pPr>
        <w:rPr>
          <w:rFonts w:ascii="IBM Plex Sans" w:hAnsi="IBM Plex Sans"/>
          <w:b/>
          <w:sz w:val="22"/>
          <w:szCs w:val="22"/>
        </w:rPr>
      </w:pPr>
      <w:r w:rsidRPr="00B06775">
        <w:rPr>
          <w:rFonts w:ascii="IBM Plex Sans" w:hAnsi="IBM Plex Sans"/>
          <w:b/>
          <w:sz w:val="22"/>
          <w:szCs w:val="22"/>
        </w:rPr>
        <w:t xml:space="preserve">Innovative &amp; </w:t>
      </w:r>
      <w:r w:rsidR="009D6B25" w:rsidRPr="00B06775">
        <w:rPr>
          <w:rFonts w:ascii="IBM Plex Sans" w:hAnsi="IBM Plex Sans"/>
          <w:b/>
          <w:sz w:val="22"/>
          <w:szCs w:val="22"/>
        </w:rPr>
        <w:t>ä</w:t>
      </w:r>
      <w:r w:rsidRPr="00B06775">
        <w:rPr>
          <w:rFonts w:ascii="IBM Plex Sans" w:hAnsi="IBM Plex Sans"/>
          <w:b/>
          <w:sz w:val="22"/>
          <w:szCs w:val="22"/>
        </w:rPr>
        <w:t>sthetische Oberfläche</w:t>
      </w:r>
      <w:r w:rsidR="00AD734C">
        <w:rPr>
          <w:rFonts w:ascii="IBM Plex Sans" w:hAnsi="IBM Plex Sans"/>
          <w:b/>
          <w:sz w:val="22"/>
          <w:szCs w:val="22"/>
        </w:rPr>
        <w:t xml:space="preserve"> Fenix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B06775" w:rsidRDefault="00AD734C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noProof/>
          <w:sz w:val="22"/>
          <w:szCs w:val="22"/>
        </w:rPr>
        <w:drawing>
          <wp:inline distT="0" distB="0" distL="0" distR="0" wp14:anchorId="4D5737E5" wp14:editId="260838EA">
            <wp:extent cx="768350" cy="14195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7-17 um 16.56.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43" cy="1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CE4" w:rsidRPr="00B06775">
        <w:rPr>
          <w:rFonts w:ascii="IBM Plex Sans" w:hAnsi="IBM Plex Sans"/>
          <w:sz w:val="22"/>
          <w:szCs w:val="22"/>
        </w:rPr>
        <w:t xml:space="preserve"> ist ein extrem mattes </w:t>
      </w:r>
      <w:proofErr w:type="spellStart"/>
      <w:r w:rsidR="00F07CE4" w:rsidRPr="00B06775">
        <w:rPr>
          <w:rFonts w:ascii="IBM Plex Sans" w:hAnsi="IBM Plex Sans"/>
          <w:sz w:val="22"/>
          <w:szCs w:val="22"/>
        </w:rPr>
        <w:t>Nanotech</w:t>
      </w:r>
      <w:proofErr w:type="spellEnd"/>
      <w:r w:rsidR="00F07CE4" w:rsidRPr="00B06775">
        <w:rPr>
          <w:rFonts w:ascii="IBM Plex Sans" w:hAnsi="IBM Plex Sans"/>
          <w:sz w:val="22"/>
          <w:szCs w:val="22"/>
        </w:rPr>
        <w:t>-Material. Die matte Oberfläche wird durch eine spezielle Nano-Technologie veredelt.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 xml:space="preserve">Ein Plus der FENIX-Oberfläche gegenüber bisherigen Küchenoberflächen ist, dass </w:t>
      </w:r>
      <w:r w:rsidR="004A3CDE" w:rsidRPr="00B06775">
        <w:rPr>
          <w:rFonts w:ascii="IBM Plex Sans" w:hAnsi="IBM Plex Sans"/>
          <w:sz w:val="22"/>
          <w:szCs w:val="22"/>
        </w:rPr>
        <w:t>sie</w:t>
      </w:r>
      <w:r w:rsidR="00CE3043" w:rsidRPr="00B06775">
        <w:rPr>
          <w:rFonts w:ascii="IBM Plex Sans" w:hAnsi="IBM Plex Sans"/>
          <w:sz w:val="22"/>
          <w:szCs w:val="22"/>
        </w:rPr>
        <w:t xml:space="preserve"> </w:t>
      </w:r>
      <w:r w:rsidRPr="00B06775">
        <w:rPr>
          <w:rFonts w:ascii="IBM Plex Sans" w:hAnsi="IBM Plex Sans"/>
          <w:sz w:val="22"/>
          <w:szCs w:val="22"/>
        </w:rPr>
        <w:t>stark beanspruchbar, abrieb- und kratzfest ist.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Dank der Thermo-Reparaturbarkeit hat FENIX zusätzlich die Fähigkeit sich von eventuellen oberflächlichen Mikrokratzern zu erholen, indem zum Beispiel einfache Kratzer mit einem Bügeleisen und einem feuchten Handtuch „glatt</w:t>
      </w:r>
      <w:r w:rsidR="00CE3043" w:rsidRPr="00B06775">
        <w:rPr>
          <w:rFonts w:ascii="IBM Plex Sans" w:hAnsi="IBM Plex Sans"/>
          <w:sz w:val="22"/>
          <w:szCs w:val="22"/>
        </w:rPr>
        <w:t xml:space="preserve"> </w:t>
      </w:r>
      <w:r w:rsidRPr="00B06775">
        <w:rPr>
          <w:rFonts w:ascii="IBM Plex Sans" w:hAnsi="IBM Plex Sans"/>
          <w:sz w:val="22"/>
          <w:szCs w:val="22"/>
        </w:rPr>
        <w:t>gebügelt“ werden.</w:t>
      </w:r>
    </w:p>
    <w:p w:rsidR="004A3CDE" w:rsidRPr="00B06775" w:rsidRDefault="004A3CDE" w:rsidP="00F07CE4">
      <w:pPr>
        <w:rPr>
          <w:rFonts w:ascii="IBM Plex Sans" w:hAnsi="IBM Plex Sans"/>
          <w:sz w:val="22"/>
          <w:szCs w:val="22"/>
        </w:rPr>
      </w:pPr>
    </w:p>
    <w:p w:rsidR="004A3CDE" w:rsidRPr="00B06775" w:rsidRDefault="004A3CDE" w:rsidP="00F07CE4">
      <w:pPr>
        <w:rPr>
          <w:rFonts w:ascii="IBM Plex Sans" w:hAnsi="IBM Plex Sans"/>
          <w:sz w:val="22"/>
          <w:szCs w:val="22"/>
        </w:rPr>
      </w:pPr>
    </w:p>
    <w:p w:rsidR="00F92592" w:rsidRPr="00B06775" w:rsidRDefault="00613B74" w:rsidP="00F92592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b/>
          <w:sz w:val="22"/>
          <w:szCs w:val="22"/>
        </w:rPr>
        <w:t xml:space="preserve">cascade &amp; </w:t>
      </w:r>
      <w:r w:rsidRPr="00B06775">
        <w:rPr>
          <w:rFonts w:ascii="IBM Plex Sans" w:hAnsi="IBM Plex Sans"/>
          <w:noProof/>
          <w:sz w:val="22"/>
          <w:szCs w:val="22"/>
        </w:rPr>
        <w:drawing>
          <wp:inline distT="0" distB="0" distL="0" distR="0" wp14:anchorId="7560ED2F" wp14:editId="2278257A">
            <wp:extent cx="768350" cy="141957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7-17 um 16.56.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43" cy="1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6775">
        <w:rPr>
          <w:rFonts w:ascii="IBM Plex Sans" w:hAnsi="IBM Plex Sans"/>
          <w:sz w:val="22"/>
          <w:szCs w:val="22"/>
        </w:rPr>
        <w:t xml:space="preserve"> </w:t>
      </w:r>
      <w:r w:rsidR="006666E0" w:rsidRPr="00B06775">
        <w:rPr>
          <w:rFonts w:ascii="IBM Plex Sans" w:hAnsi="IBM Plex Sans"/>
          <w:sz w:val="22"/>
          <w:szCs w:val="22"/>
        </w:rPr>
        <w:t xml:space="preserve"> </w:t>
      </w:r>
      <w:r w:rsidR="006666E0" w:rsidRPr="00B06775">
        <w:rPr>
          <w:rFonts w:ascii="IBM Plex Sans" w:hAnsi="IBM Plex Sans"/>
          <w:b/>
          <w:sz w:val="22"/>
          <w:szCs w:val="22"/>
        </w:rPr>
        <w:t xml:space="preserve">Eine </w:t>
      </w:r>
      <w:r w:rsidRPr="00B06775">
        <w:rPr>
          <w:rFonts w:ascii="IBM Plex Sans" w:hAnsi="IBM Plex Sans"/>
          <w:b/>
          <w:sz w:val="22"/>
          <w:szCs w:val="22"/>
        </w:rPr>
        <w:t>c</w:t>
      </w:r>
      <w:r w:rsidR="00F92592" w:rsidRPr="00B06775">
        <w:rPr>
          <w:rFonts w:ascii="IBM Plex Sans" w:hAnsi="IBM Plex Sans"/>
          <w:b/>
          <w:sz w:val="22"/>
          <w:szCs w:val="22"/>
        </w:rPr>
        <w:t>harakterstarke Inszenierung</w:t>
      </w:r>
    </w:p>
    <w:p w:rsidR="00F92592" w:rsidRPr="00B06775" w:rsidRDefault="00F92592" w:rsidP="00F07CE4">
      <w:pPr>
        <w:rPr>
          <w:rFonts w:ascii="IBM Plex Sans" w:hAnsi="IBM Plex Sans"/>
          <w:sz w:val="22"/>
          <w:szCs w:val="22"/>
        </w:rPr>
      </w:pPr>
    </w:p>
    <w:p w:rsidR="00F92592" w:rsidRPr="00B06775" w:rsidRDefault="00F92592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Jede Person ist einzigartig, darum benötigen wir heutzutage Küchen mit Persönlichkeit. Der ex</w:t>
      </w:r>
      <w:r w:rsidR="009D6B25" w:rsidRPr="00B06775">
        <w:rPr>
          <w:rFonts w:ascii="IBM Plex Sans" w:hAnsi="IBM Plex Sans"/>
          <w:sz w:val="22"/>
          <w:szCs w:val="22"/>
        </w:rPr>
        <w:t>k</w:t>
      </w:r>
      <w:r w:rsidRPr="00B06775">
        <w:rPr>
          <w:rFonts w:ascii="IBM Plex Sans" w:hAnsi="IBM Plex Sans"/>
          <w:sz w:val="22"/>
          <w:szCs w:val="22"/>
        </w:rPr>
        <w:t>lusive</w:t>
      </w:r>
      <w:r w:rsidR="00613B74" w:rsidRPr="00B06775">
        <w:rPr>
          <w:rFonts w:ascii="IBM Plex Sans" w:hAnsi="IBM Plex Sans"/>
          <w:sz w:val="22"/>
          <w:szCs w:val="22"/>
        </w:rPr>
        <w:t xml:space="preserve"> Designrahmen cascade, lieferbar in allen RAL &amp; NCS Farben, schafft ein Raumdesign nach Wunsch.</w:t>
      </w:r>
    </w:p>
    <w:p w:rsidR="00613B74" w:rsidRPr="00B06775" w:rsidRDefault="00613B74" w:rsidP="00F07CE4">
      <w:pPr>
        <w:rPr>
          <w:rFonts w:ascii="IBM Plex Sans" w:hAnsi="IBM Plex Sans"/>
          <w:sz w:val="22"/>
          <w:szCs w:val="22"/>
        </w:rPr>
      </w:pPr>
    </w:p>
    <w:p w:rsidR="009E5C22" w:rsidRDefault="00F07CE4" w:rsidP="009E5C22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 xml:space="preserve">Die extrem gleichmäßige softe Struktur der schwarzen Küchenfronten wird durch die Einrahmung mit dem </w:t>
      </w:r>
      <w:r w:rsidR="00CE3043" w:rsidRPr="00B06775">
        <w:rPr>
          <w:rFonts w:ascii="IBM Plex Sans" w:hAnsi="IBM Plex Sans"/>
          <w:color w:val="000000" w:themeColor="text1"/>
          <w:sz w:val="22"/>
          <w:szCs w:val="22"/>
        </w:rPr>
        <w:t xml:space="preserve">roten </w:t>
      </w:r>
      <w:r w:rsidRPr="00B06775">
        <w:rPr>
          <w:rFonts w:ascii="IBM Plex Sans" w:hAnsi="IBM Plex Sans"/>
          <w:color w:val="000000" w:themeColor="text1"/>
          <w:sz w:val="22"/>
          <w:szCs w:val="22"/>
        </w:rPr>
        <w:t>Rahmen</w:t>
      </w:r>
      <w:r w:rsidRPr="00B06775">
        <w:rPr>
          <w:rFonts w:ascii="IBM Plex Sans" w:hAnsi="IBM Plex Sans"/>
          <w:sz w:val="22"/>
          <w:szCs w:val="22"/>
        </w:rPr>
        <w:t xml:space="preserve"> wirkungsvoll in Szene gesetzt. </w:t>
      </w:r>
      <w:r w:rsidR="00613B74" w:rsidRPr="00B06775">
        <w:rPr>
          <w:rFonts w:ascii="IBM Plex Sans" w:hAnsi="IBM Plex Sans"/>
          <w:sz w:val="22"/>
          <w:szCs w:val="22"/>
        </w:rPr>
        <w:t xml:space="preserve">Flexibilität ist </w:t>
      </w:r>
      <w:r w:rsidR="008D245C" w:rsidRPr="00B06775">
        <w:rPr>
          <w:rFonts w:ascii="IBM Plex Sans" w:hAnsi="IBM Plex Sans"/>
          <w:sz w:val="22"/>
          <w:szCs w:val="22"/>
        </w:rPr>
        <w:t>derzeit</w:t>
      </w:r>
      <w:r w:rsidR="00613B74" w:rsidRPr="00B06775">
        <w:rPr>
          <w:rFonts w:ascii="IBM Plex Sans" w:hAnsi="IBM Plex Sans"/>
          <w:sz w:val="22"/>
          <w:szCs w:val="22"/>
        </w:rPr>
        <w:t xml:space="preserve"> gefragt – </w:t>
      </w:r>
      <w:r w:rsidR="008D245C" w:rsidRPr="00B06775">
        <w:rPr>
          <w:rFonts w:ascii="IBM Plex Sans" w:hAnsi="IBM Plex Sans"/>
          <w:sz w:val="22"/>
          <w:szCs w:val="22"/>
        </w:rPr>
        <w:t>jetzt</w:t>
      </w:r>
      <w:r w:rsidR="00613B74" w:rsidRPr="00B06775">
        <w:rPr>
          <w:rFonts w:ascii="IBM Plex Sans" w:hAnsi="IBM Plex Sans"/>
          <w:sz w:val="22"/>
          <w:szCs w:val="22"/>
        </w:rPr>
        <w:t xml:space="preserve"> ein warmes Rot, in </w:t>
      </w:r>
      <w:r w:rsidR="004A3CDE" w:rsidRPr="00B06775">
        <w:rPr>
          <w:rFonts w:ascii="IBM Plex Sans" w:hAnsi="IBM Plex Sans"/>
          <w:sz w:val="22"/>
          <w:szCs w:val="22"/>
        </w:rPr>
        <w:t xml:space="preserve">zwei </w:t>
      </w:r>
      <w:r w:rsidR="00613B74" w:rsidRPr="00B06775">
        <w:rPr>
          <w:rFonts w:ascii="IBM Plex Sans" w:hAnsi="IBM Plex Sans"/>
          <w:sz w:val="22"/>
          <w:szCs w:val="22"/>
        </w:rPr>
        <w:t xml:space="preserve">Jahren vielleicht ein </w:t>
      </w:r>
      <w:r w:rsidR="00AD734C">
        <w:rPr>
          <w:rFonts w:ascii="IBM Plex Sans" w:hAnsi="IBM Plex Sans"/>
          <w:sz w:val="22"/>
          <w:szCs w:val="22"/>
        </w:rPr>
        <w:t>behagliches gelb</w:t>
      </w:r>
      <w:bookmarkStart w:id="0" w:name="_GoBack"/>
      <w:bookmarkEnd w:id="0"/>
      <w:r w:rsidR="00613B74" w:rsidRPr="00B06775">
        <w:rPr>
          <w:rFonts w:ascii="IBM Plex Sans" w:hAnsi="IBM Plex Sans"/>
          <w:sz w:val="22"/>
          <w:szCs w:val="22"/>
        </w:rPr>
        <w:t xml:space="preserve"> – so wollen wir</w:t>
      </w:r>
      <w:r w:rsidR="008D245C" w:rsidRPr="00B06775">
        <w:rPr>
          <w:rFonts w:ascii="IBM Plex Sans" w:hAnsi="IBM Plex Sans"/>
          <w:sz w:val="22"/>
          <w:szCs w:val="22"/>
        </w:rPr>
        <w:t xml:space="preserve"> heute </w:t>
      </w:r>
      <w:r w:rsidR="00613B74" w:rsidRPr="00B06775">
        <w:rPr>
          <w:rFonts w:ascii="IBM Plex Sans" w:hAnsi="IBM Plex Sans"/>
          <w:sz w:val="22"/>
          <w:szCs w:val="22"/>
        </w:rPr>
        <w:t>leben.</w:t>
      </w:r>
    </w:p>
    <w:p w:rsidR="009E5C22" w:rsidRDefault="009E5C22" w:rsidP="009E5C22">
      <w:pPr>
        <w:rPr>
          <w:rFonts w:ascii="IBM Plex Sans" w:hAnsi="IBM Plex Sans" w:cs="Tahoma"/>
          <w:color w:val="262626"/>
          <w:sz w:val="16"/>
          <w:szCs w:val="16"/>
        </w:rPr>
      </w:pPr>
    </w:p>
    <w:p w:rsidR="009E5C22" w:rsidRDefault="009E5C22" w:rsidP="009E5C22">
      <w:pPr>
        <w:rPr>
          <w:rFonts w:ascii="IBM Plex Sans" w:hAnsi="IBM Plex Sans" w:cs="Tahoma"/>
          <w:color w:val="262626"/>
          <w:sz w:val="16"/>
          <w:szCs w:val="16"/>
        </w:rPr>
      </w:pPr>
    </w:p>
    <w:p w:rsidR="00167361" w:rsidRPr="009E5C22" w:rsidRDefault="00167361" w:rsidP="009E5C22">
      <w:pPr>
        <w:rPr>
          <w:rFonts w:ascii="IBM Plex Sans" w:hAnsi="IBM Plex Sans"/>
          <w:sz w:val="22"/>
          <w:szCs w:val="22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Ihre Ansprechpartnerin: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Leitung Marketing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1724C3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167361" w:rsidRPr="00A61B07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A61B07">
        <w:rPr>
          <w:rFonts w:ascii="IBM Plex Sans" w:hAnsi="IBM Plex Sans" w:cs="Tahoma"/>
          <w:color w:val="262626"/>
          <w:sz w:val="16"/>
          <w:szCs w:val="16"/>
        </w:rPr>
        <w:t>epfeiffer@rational.de</w:t>
      </w:r>
    </w:p>
    <w:p w:rsidR="00167361" w:rsidRPr="00A61B07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167361" w:rsidRPr="0097055D" w:rsidRDefault="00167361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 w:rsidRPr="0097055D">
        <w:rPr>
          <w:rFonts w:ascii="IBM Plex Sans Light" w:hAnsi="IBM Plex Sans Light" w:cs="Tahoma"/>
          <w:color w:val="262626"/>
          <w:sz w:val="16"/>
          <w:szCs w:val="16"/>
        </w:rPr>
        <w:t xml:space="preserve">Bei Veröffentlichung senden Sie uns bitte ein </w:t>
      </w:r>
      <w:r>
        <w:rPr>
          <w:rFonts w:ascii="IBM Plex Sans Light" w:hAnsi="IBM Plex Sans Light" w:cs="Tahoma"/>
          <w:color w:val="262626"/>
          <w:sz w:val="16"/>
          <w:szCs w:val="16"/>
        </w:rPr>
        <w:t>Belegexemplar zu.</w:t>
      </w: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Pr="00EA444E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167361" w:rsidRPr="00EA444E" w:rsidSect="00F07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9B" w:rsidRDefault="00C27F9B">
      <w:r>
        <w:separator/>
      </w:r>
    </w:p>
  </w:endnote>
  <w:endnote w:type="continuationSeparator" w:id="0">
    <w:p w:rsidR="00C27F9B" w:rsidRDefault="00C2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E5C2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E5C2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E5C2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E5C22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9E5C22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9E5C22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9E5C22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9B" w:rsidRDefault="00C27F9B">
      <w:r>
        <w:separator/>
      </w:r>
    </w:p>
  </w:footnote>
  <w:footnote w:type="continuationSeparator" w:id="0">
    <w:p w:rsidR="00C27F9B" w:rsidRDefault="00C2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D734C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E5C2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E5C2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8DB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27BD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5C22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448E"/>
    <w:rsid w:val="00AA74FE"/>
    <w:rsid w:val="00AB1DD2"/>
    <w:rsid w:val="00AC44E8"/>
    <w:rsid w:val="00AD0989"/>
    <w:rsid w:val="00AD3EE4"/>
    <w:rsid w:val="00AD639B"/>
    <w:rsid w:val="00AD6410"/>
    <w:rsid w:val="00AD734C"/>
    <w:rsid w:val="00AE091C"/>
    <w:rsid w:val="00AE0AB6"/>
    <w:rsid w:val="00AE6F33"/>
    <w:rsid w:val="00AE7E11"/>
    <w:rsid w:val="00AF79A5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27F9B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E3340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7A2EC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A99DC-3B63-8648-B969-F9E69836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1262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24</cp:revision>
  <cp:lastPrinted>2019-08-16T07:19:00Z</cp:lastPrinted>
  <dcterms:created xsi:type="dcterms:W3CDTF">2018-12-07T09:22:00Z</dcterms:created>
  <dcterms:modified xsi:type="dcterms:W3CDTF">2019-12-02T07:53:00Z</dcterms:modified>
</cp:coreProperties>
</file>