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1B11285C" w14:textId="5087F647" w:rsidR="00F07CE4" w:rsidRPr="00C30FE5" w:rsidRDefault="00C56F3D" w:rsidP="00F07CE4">
      <w:pPr>
        <w:rPr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D66BAB" w:rsidRPr="00C30FE5">
        <w:rPr>
          <w:rFonts w:ascii="IBM Plex Sans" w:hAnsi="IBM Plex Sans"/>
          <w:b/>
          <w:sz w:val="24"/>
          <w:szCs w:val="24"/>
          <w:lang w:val="es-ES_tradnl"/>
        </w:rPr>
        <w:t>Pared de sala</w:t>
      </w:r>
    </w:p>
    <w:p w14:paraId="2F57EA05" w14:textId="77777777" w:rsidR="001A61D6" w:rsidRPr="00AA5E68" w:rsidRDefault="001A61D6" w:rsidP="001A61D6">
      <w:pPr>
        <w:rPr>
          <w:rFonts w:ascii="IBM Plex Sans" w:hAnsi="IBM Plex Sans"/>
          <w:sz w:val="22"/>
          <w:szCs w:val="22"/>
          <w:lang w:val="es-ES_tradnl"/>
        </w:rPr>
      </w:pPr>
    </w:p>
    <w:p w14:paraId="6C456C5F" w14:textId="77777777" w:rsidR="001A61D6" w:rsidRPr="00AA5E68" w:rsidRDefault="001A61D6" w:rsidP="001A61D6">
      <w:pPr>
        <w:rPr>
          <w:rFonts w:ascii="IBM Plex Sans" w:hAnsi="IBM Plex Sans"/>
          <w:sz w:val="22"/>
          <w:szCs w:val="22"/>
          <w:lang w:val="es-ES_tradnl"/>
        </w:rPr>
      </w:pPr>
    </w:p>
    <w:p w14:paraId="5219A581" w14:textId="77777777" w:rsidR="001A61D6" w:rsidRPr="00AA5E68" w:rsidRDefault="001A61D6" w:rsidP="001A61D6">
      <w:pPr>
        <w:rPr>
          <w:rFonts w:ascii="IBM Plex Sans" w:hAnsi="IBM Plex Sans"/>
          <w:sz w:val="22"/>
          <w:szCs w:val="22"/>
          <w:lang w:val="es-ES_tradnl"/>
        </w:rPr>
      </w:pPr>
    </w:p>
    <w:p w14:paraId="24E0811C" w14:textId="0EA12EA0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53C5CABD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65FF9E02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141F8EBE" w14:textId="0C3C3996" w:rsidR="00F07CE4" w:rsidRPr="00AA5E68" w:rsidRDefault="00226140" w:rsidP="00F07CE4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>La individualidad se encuentra con la flexibilidad</w:t>
      </w:r>
    </w:p>
    <w:p w14:paraId="47168080" w14:textId="77777777" w:rsidR="00226140" w:rsidRPr="00AA5E68" w:rsidRDefault="00226140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454C84BE" w14:textId="0A3859EE" w:rsidR="00226140" w:rsidRPr="00AA5E68" w:rsidRDefault="00226140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El sistema de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estanterías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de rational es la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conexión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perfecta entre cocina y el espacio de vivir.</w:t>
      </w:r>
    </w:p>
    <w:p w14:paraId="1455F2A3" w14:textId="77777777" w:rsidR="00226140" w:rsidRPr="00AA5E68" w:rsidRDefault="00226140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Debido a una flexibilidad extremadamente alta en el área de variabilidad dimensional, selección de color e incluso el grosor del material, esta pared de  sala siempre se adapta a la correspondiente  situación de vida.</w:t>
      </w:r>
    </w:p>
    <w:p w14:paraId="72FC204F" w14:textId="77777777" w:rsidR="00226140" w:rsidRPr="00AA5E68" w:rsidRDefault="00226140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C5FB63F" w14:textId="77777777" w:rsidR="00503E27" w:rsidRPr="00AA5E68" w:rsidRDefault="00503E27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2C1CA605" w14:textId="60B2C8CA" w:rsidR="00F07CE4" w:rsidRPr="00AA5E68" w:rsidRDefault="00BA29BB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Los armarios sobre altos aseguran espacio de almacenamiento y para tener orden en un decorativo expresivo de madera en Blackwood</w:t>
      </w:r>
      <w:r w:rsidR="00074DA5" w:rsidRPr="00AA5E68">
        <w:rPr>
          <w:rFonts w:ascii="IBM Plex Sans" w:hAnsi="IBM Plex Sans"/>
          <w:sz w:val="22"/>
          <w:szCs w:val="22"/>
          <w:lang w:val="es-ES_tradnl"/>
        </w:rPr>
        <w:t xml:space="preserve"> en combinación con los armarios de vidrio del programa plano con su vidrio negro refulgente</w:t>
      </w:r>
      <w:r w:rsidRPr="00AA5E68">
        <w:rPr>
          <w:rFonts w:ascii="IBM Plex Sans" w:hAnsi="IBM Plex Sans"/>
          <w:sz w:val="22"/>
          <w:szCs w:val="22"/>
          <w:lang w:val="es-ES_tradnl"/>
        </w:rPr>
        <w:t>.</w:t>
      </w:r>
      <w:r w:rsidR="00074DA5"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9E39B2" w:rsidRPr="00AA5E68">
        <w:rPr>
          <w:rFonts w:ascii="IBM Plex Sans" w:hAnsi="IBM Plex Sans"/>
          <w:sz w:val="22"/>
          <w:szCs w:val="22"/>
          <w:lang w:val="es-ES_tradnl"/>
        </w:rPr>
        <w:t>Aquí</w:t>
      </w:r>
      <w:r w:rsidR="00D66BAB" w:rsidRPr="00AA5E68">
        <w:rPr>
          <w:rFonts w:ascii="IBM Plex Sans" w:hAnsi="IBM Plex Sans"/>
          <w:sz w:val="22"/>
          <w:szCs w:val="22"/>
          <w:lang w:val="es-ES_tradnl"/>
        </w:rPr>
        <w:t xml:space="preserve"> no hay </w:t>
      </w:r>
      <w:r w:rsidR="00074DA5" w:rsidRPr="00AA5E68">
        <w:rPr>
          <w:rFonts w:ascii="IBM Plex Sans" w:hAnsi="IBM Plex Sans"/>
          <w:sz w:val="22"/>
          <w:szCs w:val="22"/>
          <w:lang w:val="es-ES_tradnl"/>
        </w:rPr>
        <w:t>fronteras para la planificación creativa.</w:t>
      </w:r>
    </w:p>
    <w:p w14:paraId="6219D3CC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F349303" w14:textId="3568CAF9" w:rsidR="00F07CE4" w:rsidRPr="00C30FE5" w:rsidRDefault="00F07CE4" w:rsidP="00F07CE4">
      <w:pPr>
        <w:rPr>
          <w:rFonts w:ascii="IBM Plex Sans" w:hAnsi="IBM Plex Sans"/>
          <w:b/>
          <w:sz w:val="22"/>
          <w:szCs w:val="22"/>
          <w:lang w:val="es-ES_tradnl"/>
        </w:rPr>
      </w:pPr>
    </w:p>
    <w:p w14:paraId="6EF889B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3621" w14:textId="77777777" w:rsidR="008C557C" w:rsidRDefault="008C557C">
      <w:r>
        <w:separator/>
      </w:r>
    </w:p>
  </w:endnote>
  <w:endnote w:type="continuationSeparator" w:id="0">
    <w:p w14:paraId="697FDEFA" w14:textId="77777777" w:rsidR="008C557C" w:rsidRDefault="008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30FE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30FE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30FE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30FE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C30FE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C30FE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C30FE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BB70" w14:textId="77777777" w:rsidR="008C557C" w:rsidRDefault="008C557C">
      <w:r>
        <w:separator/>
      </w:r>
    </w:p>
  </w:footnote>
  <w:footnote w:type="continuationSeparator" w:id="0">
    <w:p w14:paraId="1670B162" w14:textId="77777777" w:rsidR="008C557C" w:rsidRDefault="008C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2DEB" w14:textId="0C9B64D7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83246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30FE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30FE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463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C557C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0FE5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7F7D8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89701-98FE-CA47-88FB-4FBA468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843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41</cp:revision>
  <cp:lastPrinted>2019-08-26T12:35:00Z</cp:lastPrinted>
  <dcterms:created xsi:type="dcterms:W3CDTF">2019-07-29T08:52:00Z</dcterms:created>
  <dcterms:modified xsi:type="dcterms:W3CDTF">2019-12-02T09:05:00Z</dcterms:modified>
</cp:coreProperties>
</file>