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CE5554" w:rsidRDefault="00704AAB" w:rsidP="00F07CE4">
      <w:pPr>
        <w:rPr>
          <w:rFonts w:ascii="IBM Plex Sans" w:hAnsi="IBM Plex Sans"/>
          <w:b/>
          <w:sz w:val="24"/>
          <w:szCs w:val="24"/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r w:rsidR="00F07CE4" w:rsidRPr="00CE5554">
        <w:rPr>
          <w:rFonts w:ascii="IBM Plex Sans" w:hAnsi="IBM Plex Sans"/>
          <w:b/>
          <w:sz w:val="24"/>
          <w:szCs w:val="24"/>
          <w:lang w:val="fr-FR"/>
        </w:rPr>
        <w:t xml:space="preserve">floo / </w:t>
      </w:r>
      <w:proofErr w:type="spellStart"/>
      <w:r w:rsidR="00F07CE4" w:rsidRPr="00CE5554">
        <w:rPr>
          <w:rFonts w:ascii="IBM Plex Sans" w:hAnsi="IBM Plex Sans"/>
          <w:b/>
          <w:sz w:val="24"/>
          <w:szCs w:val="24"/>
          <w:lang w:val="fr-FR"/>
        </w:rPr>
        <w:t>atmos</w:t>
      </w:r>
      <w:proofErr w:type="spellEnd"/>
      <w:r w:rsidR="00F07CE4" w:rsidRPr="00CE5554">
        <w:rPr>
          <w:rFonts w:ascii="IBM Plex Sans" w:hAnsi="IBM Plex Sans"/>
          <w:b/>
          <w:sz w:val="24"/>
          <w:szCs w:val="24"/>
          <w:lang w:val="fr-FR"/>
        </w:rPr>
        <w:t xml:space="preserve"> / </w:t>
      </w:r>
      <w:proofErr w:type="spellStart"/>
      <w:r w:rsidR="00F07CE4" w:rsidRPr="00CE5554">
        <w:rPr>
          <w:rFonts w:ascii="IBM Plex Sans" w:hAnsi="IBM Plex Sans"/>
          <w:b/>
          <w:sz w:val="24"/>
          <w:szCs w:val="24"/>
          <w:lang w:val="fr-FR"/>
        </w:rPr>
        <w:t>cambia</w:t>
      </w:r>
      <w:proofErr w:type="spellEnd"/>
    </w:p>
    <w:p w:rsidR="00F07CE4" w:rsidRPr="00CE5554" w:rsidRDefault="00F07CE4" w:rsidP="00F07CE4">
      <w:pPr>
        <w:rPr>
          <w:rFonts w:ascii="IBM Plex Sans" w:hAnsi="IBM Plex Sans"/>
          <w:b/>
          <w:sz w:val="24"/>
          <w:szCs w:val="24"/>
          <w:lang w:val="fr-FR"/>
        </w:rPr>
      </w:pPr>
    </w:p>
    <w:p w:rsidR="00F07CE4" w:rsidRPr="00CE555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  <w:bookmarkStart w:id="0" w:name="_GoBack"/>
      <w:bookmarkEnd w:id="0"/>
    </w:p>
    <w:p w:rsidR="00F07CE4" w:rsidRPr="00CE555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CE555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CE555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6B42D4" w:rsidRDefault="00A863D7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La liberté créative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A863D7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Un </w:t>
      </w:r>
      <w:r w:rsidR="00625AC6" w:rsidRPr="006B42D4">
        <w:rPr>
          <w:rFonts w:ascii="IBM Plex Sans" w:hAnsi="IBM Plex Sans"/>
          <w:sz w:val="22"/>
          <w:szCs w:val="22"/>
          <w:lang w:val="fr-FR"/>
        </w:rPr>
        <w:t>mix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de différents programmes rational, en liaison avec le concept de cuisine floo créé en coopération avec Karim Rashid, designer de renommée internationale, confère tout à la fois élégance et purisme et offre à tous les concepteurs de cuisines une grande liberté créative.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A863D7" w:rsidP="00A863D7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Les éléments hauts et colonnes du concept de cuisine floo doté de formes arrondies et naturelles représentent une caractéristique d'exclusivité sur le marché des cuisines. </w:t>
      </w:r>
      <w:r w:rsidR="00625F75" w:rsidRPr="006B42D4">
        <w:rPr>
          <w:rFonts w:ascii="IBM Plex Sans" w:hAnsi="IBM Plex Sans"/>
          <w:sz w:val="22"/>
          <w:szCs w:val="22"/>
          <w:lang w:val="fr-FR"/>
        </w:rPr>
        <w:t xml:space="preserve">À noter aussi, 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les éléments bas marquent des points avec une poignée profilée noire dans le programme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atmos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. Le marbre anthracite satiné est porté par une structure riche en contrastes élégants avec les lignes droites </w:t>
      </w:r>
      <w:r w:rsidR="00625F75" w:rsidRPr="006B42D4">
        <w:rPr>
          <w:rFonts w:ascii="IBM Plex Sans" w:hAnsi="IBM Plex Sans"/>
          <w:sz w:val="22"/>
          <w:szCs w:val="22"/>
          <w:lang w:val="fr-FR"/>
        </w:rPr>
        <w:t>des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façades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cambia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 qui ont été glissées ici presque en lévitation dans l'îlot constitué d'éléments bas.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E555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E555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E555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CE555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CE555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CE555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CE555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6D228F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E555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E555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E5321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228F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E5554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7E545-2AD0-479D-B056-EF70300B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1001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2019-12-02T10:42:00Z</dcterms:modified>
</cp:coreProperties>
</file>