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F71507" w:rsidRDefault="00704AAB" w:rsidP="00F07CE4">
      <w:pPr>
        <w:rPr>
          <w:rFonts w:ascii="IBM Plex Sans" w:hAnsi="IBM Plex Sans"/>
          <w:b/>
          <w:sz w:val="24"/>
          <w:szCs w:val="24"/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proofErr w:type="spellStart"/>
      <w:r w:rsidR="00F07CE4" w:rsidRPr="00F71507">
        <w:rPr>
          <w:rFonts w:ascii="IBM Plex Sans" w:hAnsi="IBM Plex Sans"/>
          <w:b/>
          <w:sz w:val="24"/>
          <w:szCs w:val="24"/>
          <w:lang w:val="fr-FR"/>
        </w:rPr>
        <w:t>cambia</w:t>
      </w:r>
      <w:proofErr w:type="spellEnd"/>
      <w:r w:rsidR="00F07CE4" w:rsidRPr="00F71507">
        <w:rPr>
          <w:rFonts w:ascii="IBM Plex Sans" w:hAnsi="IBM Plex Sans"/>
          <w:b/>
          <w:sz w:val="24"/>
          <w:szCs w:val="24"/>
          <w:lang w:val="fr-FR"/>
        </w:rPr>
        <w:t xml:space="preserve"> </w:t>
      </w:r>
      <w:r w:rsidR="009A0FAF">
        <w:rPr>
          <w:rFonts w:ascii="IBM Plex Sans" w:hAnsi="IBM Plex Sans"/>
          <w:b/>
          <w:sz w:val="24"/>
          <w:szCs w:val="24"/>
          <w:lang w:val="fr-FR"/>
        </w:rPr>
        <w:t xml:space="preserve">– Living </w:t>
      </w:r>
      <w:proofErr w:type="spellStart"/>
      <w:r w:rsidR="009A0FAF">
        <w:rPr>
          <w:rFonts w:ascii="IBM Plex Sans" w:hAnsi="IBM Plex Sans"/>
          <w:b/>
          <w:sz w:val="24"/>
          <w:szCs w:val="24"/>
          <w:lang w:val="fr-FR"/>
        </w:rPr>
        <w:t>Coral</w:t>
      </w:r>
      <w:proofErr w:type="spellEnd"/>
    </w:p>
    <w:p w:rsidR="00F07CE4" w:rsidRPr="00F71507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71507" w:rsidRDefault="00F71507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71507" w:rsidRPr="00F71507" w:rsidRDefault="00F71507" w:rsidP="00F07CE4">
      <w:pPr>
        <w:rPr>
          <w:rFonts w:ascii="IBM Plex Sans" w:hAnsi="IBM Plex Sans"/>
          <w:sz w:val="22"/>
          <w:szCs w:val="22"/>
          <w:lang w:val="es-ES_tradnl"/>
        </w:rPr>
      </w:pPr>
      <w:bookmarkStart w:id="0" w:name="_GoBack"/>
      <w:bookmarkEnd w:id="0"/>
    </w:p>
    <w:p w:rsidR="00F07CE4" w:rsidRPr="00F71507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6B42D4" w:rsidRDefault="00187647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Le plaisir personnalisé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Ici, le goût personnel</w:t>
      </w:r>
      <w:r w:rsidR="00EA698E" w:rsidRPr="006B42D4">
        <w:rPr>
          <w:rFonts w:ascii="IBM Plex Sans" w:hAnsi="IBM Plex Sans"/>
          <w:sz w:val="22"/>
          <w:szCs w:val="22"/>
          <w:lang w:val="fr-FR"/>
        </w:rPr>
        <w:t xml:space="preserve"> est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la mesure de toute chose.</w:t>
      </w:r>
      <w:r w:rsidR="00A24207" w:rsidRPr="006B42D4">
        <w:rPr>
          <w:rFonts w:ascii="IBM Plex Sans" w:hAnsi="IBM Plex Sans"/>
          <w:sz w:val="22"/>
          <w:szCs w:val="22"/>
          <w:lang w:val="fr-FR"/>
        </w:rPr>
        <w:t xml:space="preserve"> </w:t>
      </w:r>
      <w:r w:rsidR="00EA698E" w:rsidRPr="006B42D4">
        <w:rPr>
          <w:rFonts w:ascii="IBM Plex Sans" w:hAnsi="IBM Plex Sans"/>
          <w:sz w:val="22"/>
          <w:szCs w:val="22"/>
          <w:lang w:val="fr-FR"/>
        </w:rPr>
        <w:t>S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ynonyme d'une fabrication et </w:t>
      </w:r>
      <w:r w:rsidR="00EA698E" w:rsidRPr="006B42D4">
        <w:rPr>
          <w:rFonts w:ascii="IBM Plex Sans" w:hAnsi="IBM Plex Sans"/>
          <w:sz w:val="22"/>
          <w:szCs w:val="22"/>
          <w:lang w:val="fr-FR"/>
        </w:rPr>
        <w:t xml:space="preserve">d'une </w:t>
      </w:r>
      <w:r w:rsidRPr="006B42D4">
        <w:rPr>
          <w:rFonts w:ascii="IBM Plex Sans" w:hAnsi="IBM Plex Sans"/>
          <w:sz w:val="22"/>
          <w:szCs w:val="22"/>
          <w:lang w:val="fr-FR"/>
        </w:rPr>
        <w:t>finition haut de gamme</w:t>
      </w:r>
      <w:r w:rsidR="00EA698E" w:rsidRPr="006B42D4">
        <w:rPr>
          <w:rFonts w:ascii="IBM Plex Sans" w:hAnsi="IBM Plex Sans"/>
          <w:sz w:val="22"/>
          <w:szCs w:val="22"/>
          <w:lang w:val="fr-FR"/>
        </w:rPr>
        <w:t xml:space="preserve">, le programme </w:t>
      </w:r>
      <w:proofErr w:type="spellStart"/>
      <w:r w:rsidR="00EA698E" w:rsidRPr="006B42D4">
        <w:rPr>
          <w:rFonts w:ascii="IBM Plex Sans" w:hAnsi="IBM Plex Sans"/>
          <w:sz w:val="22"/>
          <w:szCs w:val="22"/>
          <w:lang w:val="fr-FR"/>
        </w:rPr>
        <w:t>cambia</w:t>
      </w:r>
      <w:proofErr w:type="spellEnd"/>
      <w:r w:rsidR="00EA698E" w:rsidRPr="006B42D4">
        <w:rPr>
          <w:rFonts w:ascii="IBM Plex Sans" w:hAnsi="IBM Plex Sans"/>
          <w:sz w:val="22"/>
          <w:szCs w:val="22"/>
          <w:lang w:val="fr-FR"/>
        </w:rPr>
        <w:t xml:space="preserve"> offre une foule d'options </w:t>
      </w:r>
      <w:r w:rsidRPr="006B42D4">
        <w:rPr>
          <w:rFonts w:ascii="IBM Plex Sans" w:hAnsi="IBM Plex Sans"/>
          <w:sz w:val="22"/>
          <w:szCs w:val="22"/>
          <w:lang w:val="fr-FR"/>
        </w:rPr>
        <w:t>de</w:t>
      </w:r>
      <w:r w:rsidR="00EA698E" w:rsidRPr="006B42D4">
        <w:rPr>
          <w:rFonts w:ascii="IBM Plex Sans" w:hAnsi="IBM Plex Sans"/>
          <w:sz w:val="22"/>
          <w:szCs w:val="22"/>
          <w:lang w:val="fr-FR"/>
        </w:rPr>
        <w:t xml:space="preserve"> personnalisation</w:t>
      </w:r>
      <w:r w:rsidRPr="006B42D4">
        <w:rPr>
          <w:rFonts w:ascii="IBM Plex Sans" w:hAnsi="IBM Plex Sans"/>
          <w:sz w:val="22"/>
          <w:szCs w:val="22"/>
          <w:lang w:val="fr-FR"/>
        </w:rPr>
        <w:t>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4E5321" w:rsidRPr="006B42D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Living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Coral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>, la couleur de l'année 2019, met cette cuisine en scène avec brio.</w:t>
      </w:r>
    </w:p>
    <w:p w:rsidR="00F07CE4" w:rsidRPr="006B42D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Le mix de couleurs et de matières hors pair composé de marbre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ultramat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>, de verre noir et de placage en bois de noyer au ton chaud crée une atmosphère sophistiquée, absolument fascinante.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4E5321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Grâce à de multiples alternatives extérieures, intérieures et dimensionnelles, la cuisine devient un refuge de prédilection </w:t>
      </w:r>
      <w:r w:rsidR="004709CB" w:rsidRPr="006B42D4">
        <w:rPr>
          <w:rFonts w:ascii="IBM Plex Sans" w:hAnsi="IBM Plex Sans"/>
          <w:sz w:val="22"/>
          <w:szCs w:val="22"/>
          <w:lang w:val="fr-FR"/>
        </w:rPr>
        <w:t>où se matérialisent à la perfection toutes les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exigences spécifiques.</w:t>
      </w:r>
    </w:p>
    <w:p w:rsidR="00F07CE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71507" w:rsidRDefault="00F71507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71507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71507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71507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71507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F71507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F71507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F71507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A0FAF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F71507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F71507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E5321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0FAF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507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A6B06-1653-4558-8D91-D00434D9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877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2019-12-02T10:40:00Z</dcterms:modified>
</cp:coreProperties>
</file>