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F24EE4" w:rsidRDefault="00704AAB" w:rsidP="00F24E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  <w:r w:rsidR="00F24EE4">
        <w:rPr>
          <w:rFonts w:ascii="IBM Plex Sans" w:hAnsi="IBM Plex Sans"/>
          <w:b/>
          <w:sz w:val="24"/>
          <w:szCs w:val="24"/>
          <w:lang w:val="fr-FR"/>
        </w:rPr>
        <w:t>p</w:t>
      </w:r>
      <w:r w:rsidR="004E5321" w:rsidRPr="00F24EE4">
        <w:rPr>
          <w:rFonts w:ascii="IBM Plex Sans" w:hAnsi="IBM Plex Sans"/>
          <w:b/>
          <w:sz w:val="24"/>
          <w:szCs w:val="24"/>
          <w:lang w:val="fr-FR"/>
        </w:rPr>
        <w:t xml:space="preserve">rogramme sans poignées </w:t>
      </w:r>
      <w:proofErr w:type="spellStart"/>
      <w:r w:rsidR="004E5321" w:rsidRPr="00F24EE4">
        <w:rPr>
          <w:rFonts w:ascii="IBM Plex Sans" w:hAnsi="IBM Plex Sans"/>
          <w:b/>
          <w:sz w:val="24"/>
          <w:szCs w:val="24"/>
          <w:lang w:val="fr-FR"/>
        </w:rPr>
        <w:t>uno</w:t>
      </w:r>
      <w:proofErr w:type="spellEnd"/>
    </w:p>
    <w:p w:rsidR="00F07CE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24EE4" w:rsidRDefault="00F24E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24EE4" w:rsidRPr="006B42D4" w:rsidRDefault="00F24E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4E5321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Les cuisines sans poignées sont actuellement très tendance, car elles marquent des points avec </w:t>
      </w:r>
      <w:r w:rsidR="00FB0DA6" w:rsidRPr="006B42D4">
        <w:rPr>
          <w:rFonts w:ascii="IBM Plex Sans" w:hAnsi="IBM Plex Sans"/>
          <w:sz w:val="22"/>
          <w:szCs w:val="22"/>
          <w:lang w:val="fr-FR"/>
        </w:rPr>
        <w:t>la rigueur et la clarté des lignes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et elles </w:t>
      </w:r>
      <w:r w:rsidR="004709CB" w:rsidRPr="006B42D4">
        <w:rPr>
          <w:rFonts w:ascii="IBM Plex Sans" w:hAnsi="IBM Plex Sans"/>
          <w:sz w:val="22"/>
          <w:szCs w:val="22"/>
          <w:lang w:val="fr-FR"/>
        </w:rPr>
        <w:t>affichent l'</w:t>
      </w:r>
      <w:r w:rsidRPr="006B42D4">
        <w:rPr>
          <w:rFonts w:ascii="IBM Plex Sans" w:hAnsi="IBM Plex Sans"/>
          <w:sz w:val="22"/>
          <w:szCs w:val="22"/>
          <w:lang w:val="fr-FR"/>
        </w:rPr>
        <w:t>ordre et de sérénité.</w:t>
      </w:r>
    </w:p>
    <w:p w:rsidR="004E5321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La pureté parfaite des lignes inspire l'harmonie grâce au design épuré et moderne.</w:t>
      </w:r>
    </w:p>
    <w:p w:rsidR="00F07CE4" w:rsidRPr="00F24EE4" w:rsidRDefault="004E5321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La particularité de la cuisine sans poignées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uno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est </w:t>
      </w:r>
      <w:r w:rsidR="00A674FC" w:rsidRPr="006B42D4">
        <w:rPr>
          <w:rFonts w:ascii="IBM Plex Sans" w:hAnsi="IBM Plex Sans"/>
          <w:sz w:val="22"/>
          <w:szCs w:val="22"/>
          <w:lang w:val="fr-FR"/>
        </w:rPr>
        <w:t>l'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association de profilés prise de main fermés, disponibles dans différentes versions de coloris, à des façades droites ou biseautées - cette </w:t>
      </w:r>
      <w:r w:rsidR="00A674FC" w:rsidRPr="006B42D4">
        <w:rPr>
          <w:rFonts w:ascii="IBM Plex Sans" w:hAnsi="IBM Plex Sans"/>
          <w:sz w:val="22"/>
          <w:szCs w:val="22"/>
          <w:lang w:val="fr-FR"/>
        </w:rPr>
        <w:t>synergie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est disponible actuellement en exclusivité chez rational sur le marché des cuisines.</w:t>
      </w:r>
    </w:p>
    <w:p w:rsidR="00F07CE4" w:rsidRPr="00F24E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F24E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6B42D4" w:rsidRDefault="004E5321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Le retour à l'authenticité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4E5321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Le chêne fissuré huilé suit la tendance à la durabilité et c'est la garantie d</w:t>
      </w:r>
      <w:r w:rsidR="00EB53CA" w:rsidRPr="006B42D4">
        <w:rPr>
          <w:rFonts w:ascii="IBM Plex Sans" w:hAnsi="IBM Plex Sans"/>
          <w:sz w:val="22"/>
          <w:szCs w:val="22"/>
          <w:lang w:val="fr-FR"/>
        </w:rPr>
        <w:t>'</w:t>
      </w:r>
      <w:r w:rsidR="00A674FC" w:rsidRPr="006B42D4">
        <w:rPr>
          <w:rFonts w:ascii="IBM Plex Sans" w:hAnsi="IBM Plex Sans"/>
          <w:sz w:val="22"/>
          <w:szCs w:val="22"/>
          <w:lang w:val="fr-FR"/>
        </w:rPr>
        <w:t>exigences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élevé</w:t>
      </w:r>
      <w:r w:rsidR="00A674FC" w:rsidRPr="006B42D4">
        <w:rPr>
          <w:rFonts w:ascii="IBM Plex Sans" w:hAnsi="IBM Plex Sans"/>
          <w:sz w:val="22"/>
          <w:szCs w:val="22"/>
          <w:lang w:val="fr-FR"/>
        </w:rPr>
        <w:t>e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s en </w:t>
      </w:r>
      <w:r w:rsidR="00A674FC" w:rsidRPr="006B42D4">
        <w:rPr>
          <w:rFonts w:ascii="IBM Plex Sans" w:hAnsi="IBM Plex Sans"/>
          <w:sz w:val="22"/>
          <w:szCs w:val="22"/>
          <w:lang w:val="fr-FR"/>
        </w:rPr>
        <w:t>termes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de design et de qualité.</w:t>
      </w:r>
    </w:p>
    <w:p w:rsidR="00F07CE4" w:rsidRPr="006B42D4" w:rsidRDefault="004E5321" w:rsidP="004E5321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>Matière première renouvelable, le bois est de nos jours souvent utilisé pour l'</w:t>
      </w:r>
      <w:r w:rsidR="00CF2EBE" w:rsidRPr="006B42D4">
        <w:rPr>
          <w:rFonts w:ascii="IBM Plex Sans" w:hAnsi="IBM Plex Sans"/>
          <w:sz w:val="22"/>
          <w:szCs w:val="22"/>
          <w:lang w:val="fr-FR"/>
        </w:rPr>
        <w:t>anoblis</w:t>
      </w:r>
      <w:r w:rsidRPr="006B42D4">
        <w:rPr>
          <w:rFonts w:ascii="IBM Plex Sans" w:hAnsi="IBM Plex Sans"/>
          <w:sz w:val="22"/>
          <w:szCs w:val="22"/>
          <w:lang w:val="fr-FR"/>
        </w:rPr>
        <w:t>sement d</w:t>
      </w:r>
      <w:r w:rsidR="00A261CE" w:rsidRPr="006B42D4">
        <w:rPr>
          <w:rFonts w:ascii="IBM Plex Sans" w:hAnsi="IBM Plex Sans"/>
          <w:sz w:val="22"/>
          <w:szCs w:val="22"/>
          <w:lang w:val="fr-FR"/>
        </w:rPr>
        <w:t>'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agencements destinés à des personnes écologiquement responsables ou bien encore </w:t>
      </w:r>
      <w:r w:rsidR="00CF2EBE" w:rsidRPr="006B42D4">
        <w:rPr>
          <w:rFonts w:ascii="IBM Plex Sans" w:hAnsi="IBM Plex Sans"/>
          <w:sz w:val="22"/>
          <w:szCs w:val="22"/>
          <w:lang w:val="fr-FR"/>
        </w:rPr>
        <w:t xml:space="preserve">aux adeptes de </w:t>
      </w:r>
      <w:r w:rsidR="005C7412" w:rsidRPr="006B42D4">
        <w:rPr>
          <w:rFonts w:ascii="IBM Plex Sans" w:hAnsi="IBM Plex Sans"/>
          <w:sz w:val="22"/>
          <w:szCs w:val="22"/>
          <w:lang w:val="fr-FR"/>
        </w:rPr>
        <w:t>la nature authentique</w:t>
      </w:r>
      <w:r w:rsidRPr="006B42D4">
        <w:rPr>
          <w:rFonts w:ascii="IBM Plex Sans" w:hAnsi="IBM Plex Sans"/>
          <w:sz w:val="22"/>
          <w:szCs w:val="22"/>
          <w:lang w:val="fr-FR"/>
        </w:rPr>
        <w:t>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4E5321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Pour obtenir la perfection des lignes horizontales, le programme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uno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sans poignées est fourni avec des portes biseautées dans la partie haute, en association avec un profilé en aluminium fermé de couleur noire.</w:t>
      </w:r>
      <w:r w:rsidR="00F07CE4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</w:p>
    <w:p w:rsidR="00F07CE4" w:rsidRPr="006B42D4" w:rsidRDefault="004E5321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Pour le confort d'aujourd'hui, un module à café équipé d'une technique à glissière élégante est intégré dans le mur d'armoire colonne en noir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ultramat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>, à côté du four et du cuiseur vapeur.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24EE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24EE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24EE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F24EE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F24EE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F24EE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F24EE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91A2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24EE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F24EE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A2E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4EE4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C8F4A-20D4-440C-A096-2B54036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1532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2019-12-02T10:44:00Z</dcterms:modified>
</cp:coreProperties>
</file>